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8561" w14:textId="7F26A532" w:rsidR="00833004" w:rsidRPr="000232A7" w:rsidRDefault="003E1DC7" w:rsidP="003E1DC7">
      <w:pPr>
        <w:pStyle w:val="Title"/>
        <w:rPr>
          <w:rFonts w:ascii="Open Sans" w:hAnsi="Open Sans" w:cs="Open Sans"/>
        </w:rPr>
      </w:pPr>
      <w:r w:rsidRPr="000232A7">
        <w:rPr>
          <w:rFonts w:ascii="Open Sans" w:hAnsi="Open Sans" w:cs="Open Sans"/>
        </w:rPr>
        <w:t>Reading List</w:t>
      </w:r>
    </w:p>
    <w:p w14:paraId="7FA5E5D8" w14:textId="77777777" w:rsidR="00B44C2D" w:rsidRPr="000232A7" w:rsidRDefault="00B44C2D" w:rsidP="00B44C2D">
      <w:pPr>
        <w:rPr>
          <w:rFonts w:ascii="Open Sans" w:hAnsi="Open Sans" w:cs="Open Sans"/>
          <w:b/>
          <w:bCs/>
        </w:rPr>
      </w:pPr>
      <w:r w:rsidRPr="000232A7">
        <w:rPr>
          <w:rFonts w:ascii="Open Sans" w:hAnsi="Open Sans" w:cs="Open Sans"/>
          <w:b/>
          <w:bCs/>
        </w:rPr>
        <w:t>License:</w:t>
      </w:r>
    </w:p>
    <w:p w14:paraId="1A6F8436" w14:textId="77777777" w:rsidR="00B44C2D" w:rsidRPr="000232A7" w:rsidRDefault="00B44C2D" w:rsidP="00B44C2D">
      <w:pPr>
        <w:rPr>
          <w:rFonts w:ascii="Open Sans" w:hAnsi="Open Sans" w:cs="Open Sans"/>
        </w:rPr>
      </w:pPr>
      <w:r w:rsidRPr="000232A7">
        <w:rPr>
          <w:rFonts w:ascii="Open Sans" w:hAnsi="Open Sans" w:cs="Open Sans"/>
        </w:rPr>
        <w:t xml:space="preserve">This work is licensed under the Creative Commons Attribution 4.0 International License (CC BY 4.0). To view a copy of this license, visit </w:t>
      </w:r>
      <w:hyperlink r:id="rId7" w:history="1">
        <w:r w:rsidRPr="000232A7">
          <w:rPr>
            <w:rStyle w:val="Hyperlink"/>
            <w:rFonts w:ascii="Open Sans" w:hAnsi="Open Sans" w:cs="Open Sans"/>
          </w:rPr>
          <w:t>https://creativecommons.org/licenses/by/4.0/</w:t>
        </w:r>
      </w:hyperlink>
      <w:r w:rsidRPr="000232A7">
        <w:rPr>
          <w:rFonts w:ascii="Open Sans" w:hAnsi="Open Sans" w:cs="Open Sans"/>
        </w:rPr>
        <w:t>.</w:t>
      </w:r>
    </w:p>
    <w:p w14:paraId="432FBF18" w14:textId="77777777" w:rsidR="00B44C2D" w:rsidRPr="000232A7" w:rsidRDefault="00B44C2D" w:rsidP="00B44C2D">
      <w:pPr>
        <w:rPr>
          <w:rFonts w:ascii="Open Sans" w:hAnsi="Open Sans" w:cs="Open Sans"/>
          <w:b/>
          <w:bCs/>
        </w:rPr>
      </w:pPr>
      <w:r w:rsidRPr="000232A7">
        <w:rPr>
          <w:rFonts w:ascii="Open Sans" w:hAnsi="Open Sans" w:cs="Open Sans"/>
          <w:b/>
          <w:bCs/>
        </w:rPr>
        <w:t>Attribution:</w:t>
      </w:r>
    </w:p>
    <w:p w14:paraId="19C2CD65" w14:textId="77777777" w:rsidR="00B44C2D" w:rsidRPr="000232A7" w:rsidRDefault="00B44C2D" w:rsidP="00B44C2D">
      <w:pPr>
        <w:rPr>
          <w:rFonts w:ascii="Open Sans" w:eastAsiaTheme="minorEastAsia" w:hAnsi="Open Sans" w:cs="Open Sans"/>
        </w:rPr>
      </w:pPr>
      <w:r w:rsidRPr="000232A7">
        <w:rPr>
          <w:rFonts w:ascii="Open Sans" w:eastAsiaTheme="minorEastAsia" w:hAnsi="Open Sans" w:cs="Open Sans"/>
        </w:rPr>
        <w:t xml:space="preserve">Please cite as: </w:t>
      </w:r>
      <w:r w:rsidRPr="000232A7">
        <w:rPr>
          <w:rFonts w:ascii="Open Sans" w:eastAsiaTheme="minorEastAsia" w:hAnsi="Open Sans" w:cs="Open Sans"/>
          <w:lang w:val="en-US"/>
        </w:rPr>
        <w:t xml:space="preserve">Woldeamanuel, A. A., Khalid, A., Anand, S., Sahar, T., Saklani, A., Sinclair-Lecaros, S., Mentis, D., Ronoh, D., &amp; Stockman, J., </w:t>
      </w:r>
      <w:r w:rsidRPr="000232A7">
        <w:rPr>
          <w:rFonts w:ascii="Open Sans" w:eastAsiaTheme="minorEastAsia" w:hAnsi="Open Sans" w:cs="Open Sans"/>
        </w:rPr>
        <w:t>2026. Data Driven, Integrated and Inclusive Energy Planning with Energy Access Explorer. Version 1. Climate Compatible Growth Teaching Kit Website, Climate Compatible Growth.</w:t>
      </w:r>
    </w:p>
    <w:p w14:paraId="17547947" w14:textId="0B09B49E" w:rsidR="000F35E3" w:rsidRPr="000232A7" w:rsidRDefault="003E1DC7" w:rsidP="00E469FB">
      <w:pPr>
        <w:jc w:val="both"/>
        <w:rPr>
          <w:rFonts w:ascii="Open Sans" w:hAnsi="Open Sans" w:cs="Open Sans"/>
        </w:rPr>
      </w:pPr>
      <w:r w:rsidRPr="000232A7">
        <w:rPr>
          <w:rFonts w:ascii="Open Sans" w:hAnsi="Open Sans" w:cs="Open Sans"/>
        </w:rPr>
        <w:t>The following presents a small selection of manuals</w:t>
      </w:r>
      <w:r w:rsidR="009F4E44" w:rsidRPr="000232A7">
        <w:rPr>
          <w:rFonts w:ascii="Open Sans" w:hAnsi="Open Sans" w:cs="Open Sans"/>
        </w:rPr>
        <w:t xml:space="preserve">, </w:t>
      </w:r>
      <w:r w:rsidRPr="000232A7">
        <w:rPr>
          <w:rFonts w:ascii="Open Sans" w:hAnsi="Open Sans" w:cs="Open Sans"/>
        </w:rPr>
        <w:t>academic papers</w:t>
      </w:r>
      <w:r w:rsidR="009F4E44" w:rsidRPr="000232A7">
        <w:rPr>
          <w:rFonts w:ascii="Open Sans" w:hAnsi="Open Sans" w:cs="Open Sans"/>
        </w:rPr>
        <w:t xml:space="preserve">, and government technical documents </w:t>
      </w:r>
      <w:r w:rsidRPr="000232A7">
        <w:rPr>
          <w:rFonts w:ascii="Open Sans" w:hAnsi="Open Sans" w:cs="Open Sans"/>
        </w:rPr>
        <w:t xml:space="preserve">that </w:t>
      </w:r>
      <w:r w:rsidR="009F4E44" w:rsidRPr="000232A7">
        <w:rPr>
          <w:rFonts w:ascii="Open Sans" w:hAnsi="Open Sans" w:cs="Open Sans"/>
        </w:rPr>
        <w:t xml:space="preserve">will help students gain an understanding of how </w:t>
      </w:r>
      <w:r w:rsidR="00074CF6" w:rsidRPr="000232A7">
        <w:rPr>
          <w:rFonts w:ascii="Open Sans" w:hAnsi="Open Sans" w:cs="Open Sans"/>
        </w:rPr>
        <w:t>EAE</w:t>
      </w:r>
      <w:r w:rsidR="009F4E44" w:rsidRPr="000232A7">
        <w:rPr>
          <w:rFonts w:ascii="Open Sans" w:hAnsi="Open Sans" w:cs="Open Sans"/>
        </w:rPr>
        <w:t xml:space="preserve"> can be used in </w:t>
      </w:r>
      <w:r w:rsidR="00074CF6" w:rsidRPr="000232A7">
        <w:rPr>
          <w:rFonts w:ascii="Open Sans" w:hAnsi="Open Sans" w:cs="Open Sans"/>
        </w:rPr>
        <w:t>energy access interventions</w:t>
      </w:r>
      <w:r w:rsidR="00700B90" w:rsidRPr="000232A7">
        <w:rPr>
          <w:rFonts w:ascii="Open Sans" w:hAnsi="Open Sans" w:cs="Open Sans"/>
        </w:rPr>
        <w:t xml:space="preserve">. However, it is not an exhaustive list of </w:t>
      </w:r>
      <w:r w:rsidR="00074CF6" w:rsidRPr="000232A7">
        <w:rPr>
          <w:rFonts w:ascii="Open Sans" w:hAnsi="Open Sans" w:cs="Open Sans"/>
        </w:rPr>
        <w:t>EAE</w:t>
      </w:r>
      <w:r w:rsidR="00700B90" w:rsidRPr="000232A7">
        <w:rPr>
          <w:rFonts w:ascii="Open Sans" w:hAnsi="Open Sans" w:cs="Open Sans"/>
        </w:rPr>
        <w:t xml:space="preserve"> studies and students should conduct a literature review as part of their </w:t>
      </w:r>
      <w:r w:rsidR="00E469FB" w:rsidRPr="000232A7">
        <w:rPr>
          <w:rFonts w:ascii="Open Sans" w:hAnsi="Open Sans" w:cs="Open Sans"/>
        </w:rPr>
        <w:t>project.</w:t>
      </w:r>
    </w:p>
    <w:p w14:paraId="47138150" w14:textId="77777777" w:rsidR="00074CF6" w:rsidRPr="000232A7" w:rsidRDefault="00074CF6" w:rsidP="00074CF6">
      <w:pPr>
        <w:pStyle w:val="ListParagraph"/>
        <w:numPr>
          <w:ilvl w:val="0"/>
          <w:numId w:val="2"/>
        </w:numPr>
        <w:spacing w:after="0" w:line="240" w:lineRule="auto"/>
        <w:rPr>
          <w:rFonts w:ascii="Open Sans" w:eastAsia="Times New Roman" w:hAnsi="Open Sans" w:cs="Open Sans"/>
          <w:kern w:val="0"/>
          <w:lang w:val="en-US" w:eastAsia="en-GB"/>
          <w14:ligatures w14:val="none"/>
        </w:rPr>
      </w:pPr>
      <w:r w:rsidRPr="000232A7">
        <w:rPr>
          <w:rFonts w:ascii="Open Sans" w:eastAsia="Times New Roman" w:hAnsi="Open Sans" w:cs="Open Sans"/>
          <w:kern w:val="0"/>
          <w:lang w:val="en-US" w:eastAsia="en-GB"/>
          <w14:ligatures w14:val="none"/>
        </w:rPr>
        <w:t xml:space="preserve">Mentis, D., L. Odarno, D. Wood, F. </w:t>
      </w:r>
      <w:proofErr w:type="spellStart"/>
      <w:r w:rsidRPr="000232A7">
        <w:rPr>
          <w:rFonts w:ascii="Open Sans" w:eastAsia="Times New Roman" w:hAnsi="Open Sans" w:cs="Open Sans"/>
          <w:kern w:val="0"/>
          <w:lang w:val="en-US" w:eastAsia="en-GB"/>
          <w14:ligatures w14:val="none"/>
        </w:rPr>
        <w:t>Jendle</w:t>
      </w:r>
      <w:proofErr w:type="spellEnd"/>
      <w:r w:rsidRPr="000232A7">
        <w:rPr>
          <w:rFonts w:ascii="Open Sans" w:eastAsia="Times New Roman" w:hAnsi="Open Sans" w:cs="Open Sans"/>
          <w:kern w:val="0"/>
          <w:lang w:val="en-US" w:eastAsia="en-GB"/>
          <w14:ligatures w14:val="none"/>
        </w:rPr>
        <w:t xml:space="preserve">, E. Mazur, A. </w:t>
      </w:r>
      <w:proofErr w:type="spellStart"/>
      <w:r w:rsidRPr="000232A7">
        <w:rPr>
          <w:rFonts w:ascii="Open Sans" w:eastAsia="Times New Roman" w:hAnsi="Open Sans" w:cs="Open Sans"/>
          <w:kern w:val="0"/>
          <w:lang w:val="en-US" w:eastAsia="en-GB"/>
          <w14:ligatures w14:val="none"/>
        </w:rPr>
        <w:t>Qehaja</w:t>
      </w:r>
      <w:proofErr w:type="spellEnd"/>
      <w:r w:rsidRPr="000232A7">
        <w:rPr>
          <w:rFonts w:ascii="Open Sans" w:eastAsia="Times New Roman" w:hAnsi="Open Sans" w:cs="Open Sans"/>
          <w:kern w:val="0"/>
          <w:lang w:val="en-US" w:eastAsia="en-GB"/>
          <w14:ligatures w14:val="none"/>
        </w:rPr>
        <w:t xml:space="preserve">, and F. Gassert. 2019. “Energy Access Explorer: Data and Methods.” Technical Note. Washington, DC: World Resources Institute. Available online at: </w:t>
      </w:r>
      <w:hyperlink r:id="rId8" w:history="1">
        <w:r w:rsidRPr="000232A7">
          <w:rPr>
            <w:rStyle w:val="Hyperlink"/>
            <w:rFonts w:ascii="Open Sans" w:eastAsia="Times New Roman" w:hAnsi="Open Sans" w:cs="Open Sans"/>
            <w:kern w:val="0"/>
            <w:lang w:val="en-US" w:eastAsia="en-GB"/>
            <w14:ligatures w14:val="none"/>
          </w:rPr>
          <w:t>www.wri.org/publication/energy-access-explorer</w:t>
        </w:r>
      </w:hyperlink>
      <w:r w:rsidRPr="000232A7">
        <w:rPr>
          <w:rFonts w:ascii="Open Sans" w:eastAsia="Times New Roman" w:hAnsi="Open Sans" w:cs="Open Sans"/>
          <w:kern w:val="0"/>
          <w:lang w:val="en-US" w:eastAsia="en-GB"/>
          <w14:ligatures w14:val="none"/>
        </w:rPr>
        <w:t>.</w:t>
      </w:r>
    </w:p>
    <w:p w14:paraId="3F4B1FEE" w14:textId="4C20AD68" w:rsidR="00F62CB7" w:rsidRPr="000232A7" w:rsidRDefault="00F62CB7" w:rsidP="00074CF6">
      <w:pPr>
        <w:spacing w:before="120" w:after="120"/>
        <w:jc w:val="both"/>
        <w:rPr>
          <w:rFonts w:ascii="Open Sans" w:hAnsi="Open Sans" w:cs="Open Sans"/>
        </w:rPr>
      </w:pPr>
      <w:r w:rsidRPr="000232A7">
        <w:rPr>
          <w:rFonts w:ascii="Open Sans" w:hAnsi="Open Sans" w:cs="Open Sans"/>
        </w:rPr>
        <w:t xml:space="preserve">This paper introduces the methods and data used in Energy Access Explorer, an online, open-source, interactive platform that analyses spatial data related to energy supply and demand and a population’s unique attributes. Essential reading material for understanding the multi-criteria analytical framework applied in the </w:t>
      </w:r>
      <w:r w:rsidR="00153900" w:rsidRPr="000232A7">
        <w:rPr>
          <w:rFonts w:ascii="Open Sans" w:hAnsi="Open Sans" w:cs="Open Sans"/>
        </w:rPr>
        <w:t>platform</w:t>
      </w:r>
      <w:r w:rsidRPr="000232A7">
        <w:rPr>
          <w:rFonts w:ascii="Open Sans" w:hAnsi="Open Sans" w:cs="Open Sans"/>
        </w:rPr>
        <w:t>.</w:t>
      </w:r>
    </w:p>
    <w:p w14:paraId="33A37747" w14:textId="45FD77DB" w:rsidR="00FF0D74" w:rsidRPr="000232A7" w:rsidRDefault="00FF0D74" w:rsidP="00530BF8">
      <w:pPr>
        <w:pStyle w:val="ListParagraph"/>
        <w:numPr>
          <w:ilvl w:val="0"/>
          <w:numId w:val="2"/>
        </w:numPr>
        <w:jc w:val="both"/>
        <w:rPr>
          <w:rFonts w:ascii="Open Sans" w:hAnsi="Open Sans" w:cs="Open Sans"/>
        </w:rPr>
      </w:pPr>
      <w:r w:rsidRPr="000232A7">
        <w:rPr>
          <w:rFonts w:ascii="Open Sans" w:hAnsi="Open Sans" w:cs="Open Sans"/>
        </w:rPr>
        <w:t xml:space="preserve">Sinclair-Lecaros, S., D. Mentis, E.S. </w:t>
      </w:r>
      <w:proofErr w:type="spellStart"/>
      <w:r w:rsidRPr="000232A7">
        <w:rPr>
          <w:rFonts w:ascii="Open Sans" w:hAnsi="Open Sans" w:cs="Open Sans"/>
        </w:rPr>
        <w:t>Mulepo</w:t>
      </w:r>
      <w:proofErr w:type="spellEnd"/>
      <w:r w:rsidRPr="000232A7">
        <w:rPr>
          <w:rFonts w:ascii="Open Sans" w:hAnsi="Open Sans" w:cs="Open Sans"/>
        </w:rPr>
        <w:t xml:space="preserve"> C.S., G. </w:t>
      </w:r>
      <w:proofErr w:type="spellStart"/>
      <w:r w:rsidRPr="000232A7">
        <w:rPr>
          <w:rFonts w:ascii="Open Sans" w:hAnsi="Open Sans" w:cs="Open Sans"/>
        </w:rPr>
        <w:t>Falchetta</w:t>
      </w:r>
      <w:proofErr w:type="spellEnd"/>
      <w:r w:rsidRPr="000232A7">
        <w:rPr>
          <w:rFonts w:ascii="Open Sans" w:hAnsi="Open Sans" w:cs="Open Sans"/>
        </w:rPr>
        <w:t xml:space="preserve">, and N. </w:t>
      </w:r>
      <w:proofErr w:type="spellStart"/>
      <w:r w:rsidRPr="000232A7">
        <w:rPr>
          <w:rFonts w:ascii="Open Sans" w:hAnsi="Open Sans" w:cs="Open Sans"/>
        </w:rPr>
        <w:t>Stevanato</w:t>
      </w:r>
      <w:proofErr w:type="spellEnd"/>
      <w:r w:rsidRPr="000232A7">
        <w:rPr>
          <w:rFonts w:ascii="Open Sans" w:hAnsi="Open Sans" w:cs="Open Sans"/>
        </w:rPr>
        <w:t xml:space="preserve">. 2023. “A GIS-based demand assessment methodology to estimate electricity requirements for health care facilities: a case study for Uganda.” Technical Note. Washington, DC: World Resources Institute. Available online at: </w:t>
      </w:r>
      <w:hyperlink r:id="rId9" w:history="1">
        <w:r w:rsidRPr="000232A7">
          <w:rPr>
            <w:rStyle w:val="Hyperlink"/>
            <w:rFonts w:ascii="Open Sans" w:hAnsi="Open Sans" w:cs="Open Sans"/>
          </w:rPr>
          <w:t>https://doi.org/10.46830/writn.21.00093</w:t>
        </w:r>
      </w:hyperlink>
      <w:r w:rsidRPr="000232A7">
        <w:rPr>
          <w:rFonts w:ascii="Open Sans" w:hAnsi="Open Sans" w:cs="Open Sans"/>
        </w:rPr>
        <w:t>.</w:t>
      </w:r>
    </w:p>
    <w:p w14:paraId="20603413" w14:textId="4317FAF8" w:rsidR="00FF0D74" w:rsidRPr="000232A7" w:rsidRDefault="00FF0D74" w:rsidP="006A26EE">
      <w:pPr>
        <w:jc w:val="both"/>
        <w:rPr>
          <w:rFonts w:ascii="Open Sans" w:hAnsi="Open Sans" w:cs="Open Sans"/>
        </w:rPr>
      </w:pPr>
      <w:r w:rsidRPr="000232A7">
        <w:rPr>
          <w:rFonts w:ascii="Open Sans" w:hAnsi="Open Sans" w:cs="Open Sans"/>
        </w:rPr>
        <w:t>This technical note introduces a methodology to estimate electricity requirement ranges for health care facilities, especially unserved and under-served facilities. It combines a bottom-up approach to assessing the electricity requirements at the facility level with a geographic information system (GIS) based analysis.</w:t>
      </w:r>
      <w:r w:rsidR="00153900" w:rsidRPr="000232A7">
        <w:rPr>
          <w:rFonts w:ascii="Open Sans" w:hAnsi="Open Sans" w:cs="Open Sans"/>
        </w:rPr>
        <w:t xml:space="preserve"> </w:t>
      </w:r>
    </w:p>
    <w:p w14:paraId="56FA6519" w14:textId="6620F9AF" w:rsidR="007E54F1" w:rsidRPr="000232A7" w:rsidRDefault="007E54F1" w:rsidP="00E95318">
      <w:pPr>
        <w:pStyle w:val="ListParagraph"/>
        <w:numPr>
          <w:ilvl w:val="0"/>
          <w:numId w:val="2"/>
        </w:numPr>
        <w:jc w:val="both"/>
        <w:rPr>
          <w:rFonts w:ascii="Open Sans" w:hAnsi="Open Sans" w:cs="Open Sans"/>
        </w:rPr>
      </w:pPr>
      <w:r w:rsidRPr="000232A7">
        <w:rPr>
          <w:rFonts w:ascii="Open Sans" w:hAnsi="Open Sans" w:cs="Open Sans"/>
        </w:rPr>
        <w:t xml:space="preserve">Sinclair-Lecaros, S., D. Mentis, E.H. Laswai, and M.J.J. </w:t>
      </w:r>
      <w:proofErr w:type="spellStart"/>
      <w:r w:rsidRPr="000232A7">
        <w:rPr>
          <w:rFonts w:ascii="Open Sans" w:hAnsi="Open Sans" w:cs="Open Sans"/>
        </w:rPr>
        <w:t>Katyega</w:t>
      </w:r>
      <w:proofErr w:type="spellEnd"/>
      <w:r w:rsidRPr="000232A7">
        <w:rPr>
          <w:rFonts w:ascii="Open Sans" w:hAnsi="Open Sans" w:cs="Open Sans"/>
        </w:rPr>
        <w:t xml:space="preserve">. 2024. “EAE Scenarios for clean energy solution providers in Tanzania.” Practice Note. Washington, DC: World Resources Institute. Available online at: </w:t>
      </w:r>
      <w:hyperlink r:id="rId10" w:history="1">
        <w:r w:rsidRPr="000232A7">
          <w:rPr>
            <w:rStyle w:val="Hyperlink"/>
            <w:rFonts w:ascii="Open Sans" w:hAnsi="Open Sans" w:cs="Open Sans"/>
          </w:rPr>
          <w:t>https://doi.org/10.46830/wripn.22.00145</w:t>
        </w:r>
      </w:hyperlink>
      <w:r w:rsidRPr="000232A7">
        <w:rPr>
          <w:rFonts w:ascii="Open Sans" w:hAnsi="Open Sans" w:cs="Open Sans"/>
        </w:rPr>
        <w:t>.</w:t>
      </w:r>
    </w:p>
    <w:p w14:paraId="6889995E" w14:textId="5E5F8E59" w:rsidR="00874798" w:rsidRPr="000232A7" w:rsidRDefault="007E54F1" w:rsidP="00874798">
      <w:pPr>
        <w:jc w:val="both"/>
        <w:rPr>
          <w:rFonts w:ascii="Open Sans" w:hAnsi="Open Sans" w:cs="Open Sans"/>
        </w:rPr>
      </w:pPr>
      <w:r w:rsidRPr="000232A7">
        <w:rPr>
          <w:rFonts w:ascii="Open Sans" w:hAnsi="Open Sans" w:cs="Open Sans"/>
        </w:rPr>
        <w:t xml:space="preserve">This publication offers clean energy solution providers in Tanzania an updated geospatial database for operating </w:t>
      </w:r>
      <w:proofErr w:type="gramStart"/>
      <w:r w:rsidRPr="000232A7">
        <w:rPr>
          <w:rFonts w:ascii="Open Sans" w:hAnsi="Open Sans" w:cs="Open Sans"/>
        </w:rPr>
        <w:t>mini-grids</w:t>
      </w:r>
      <w:proofErr w:type="gramEnd"/>
      <w:r w:rsidRPr="000232A7">
        <w:rPr>
          <w:rFonts w:ascii="Open Sans" w:hAnsi="Open Sans" w:cs="Open Sans"/>
        </w:rPr>
        <w:t xml:space="preserve"> through </w:t>
      </w:r>
      <w:r w:rsidR="00B01C72" w:rsidRPr="000232A7">
        <w:rPr>
          <w:rFonts w:ascii="Open Sans" w:hAnsi="Open Sans" w:cs="Open Sans"/>
        </w:rPr>
        <w:t xml:space="preserve">the </w:t>
      </w:r>
      <w:r w:rsidRPr="000232A7">
        <w:rPr>
          <w:rFonts w:ascii="Open Sans" w:hAnsi="Open Sans" w:cs="Open Sans"/>
        </w:rPr>
        <w:t>Energy Access Explorer (EAE)</w:t>
      </w:r>
      <w:r w:rsidR="00B01C72" w:rsidRPr="000232A7">
        <w:rPr>
          <w:rFonts w:ascii="Open Sans" w:hAnsi="Open Sans" w:cs="Open Sans"/>
        </w:rPr>
        <w:t xml:space="preserve"> platform</w:t>
      </w:r>
      <w:r w:rsidRPr="000232A7">
        <w:rPr>
          <w:rFonts w:ascii="Open Sans" w:hAnsi="Open Sans" w:cs="Open Sans"/>
        </w:rPr>
        <w:t xml:space="preserve">. It </w:t>
      </w:r>
      <w:r w:rsidRPr="000232A7">
        <w:rPr>
          <w:rFonts w:ascii="Open Sans" w:hAnsi="Open Sans" w:cs="Open Sans"/>
        </w:rPr>
        <w:lastRenderedPageBreak/>
        <w:t>demonstrates the potential use of EAE in developing market expansion geospatial analysis.</w:t>
      </w:r>
    </w:p>
    <w:p w14:paraId="23597E87" w14:textId="4C8AEAE5" w:rsidR="007E54F1" w:rsidRPr="000232A7" w:rsidRDefault="007E54F1" w:rsidP="00B66E29">
      <w:pPr>
        <w:pStyle w:val="ListParagraph"/>
        <w:numPr>
          <w:ilvl w:val="0"/>
          <w:numId w:val="2"/>
        </w:numPr>
        <w:jc w:val="both"/>
        <w:rPr>
          <w:rFonts w:ascii="Open Sans" w:hAnsi="Open Sans" w:cs="Open Sans"/>
        </w:rPr>
      </w:pPr>
      <w:r w:rsidRPr="000232A7">
        <w:rPr>
          <w:rFonts w:ascii="Open Sans" w:hAnsi="Open Sans" w:cs="Open Sans"/>
        </w:rPr>
        <w:t xml:space="preserve">Ronoh, D., D. Mentis PhD, S. Odera, T. Sego, and C. Tanui. 2025. “Application of GIS in sub-national energy planning in Kenya: Integrating primary data into a least-cost electrification model using OnSSET (case study of Narok County, Kenya).” Practice Note. Washington, DC: World Resources Institute. Available online at: </w:t>
      </w:r>
      <w:hyperlink r:id="rId11" w:history="1">
        <w:r w:rsidRPr="000232A7">
          <w:rPr>
            <w:rStyle w:val="Hyperlink"/>
            <w:rFonts w:ascii="Open Sans" w:hAnsi="Open Sans" w:cs="Open Sans"/>
          </w:rPr>
          <w:t>https://doi.org/10.46830/wripn.23.00040</w:t>
        </w:r>
      </w:hyperlink>
      <w:r w:rsidRPr="000232A7">
        <w:rPr>
          <w:rFonts w:ascii="Open Sans" w:hAnsi="Open Sans" w:cs="Open Sans"/>
        </w:rPr>
        <w:t xml:space="preserve">. </w:t>
      </w:r>
    </w:p>
    <w:p w14:paraId="74432330" w14:textId="6D67EC6C" w:rsidR="007E54F1" w:rsidRPr="000232A7" w:rsidRDefault="007E54F1" w:rsidP="00B66E29">
      <w:pPr>
        <w:jc w:val="both"/>
        <w:rPr>
          <w:rFonts w:ascii="Open Sans" w:hAnsi="Open Sans" w:cs="Open Sans"/>
        </w:rPr>
      </w:pPr>
      <w:r w:rsidRPr="000232A7">
        <w:rPr>
          <w:rFonts w:ascii="Open Sans" w:hAnsi="Open Sans" w:cs="Open Sans"/>
        </w:rPr>
        <w:t xml:space="preserve">This paper discussed how GIS data and analysis contribute to the process of energy planning. It describes the methodology used to deliver some key outputs and analysis done when coming up with the Narok County Energy Plan. </w:t>
      </w:r>
    </w:p>
    <w:p w14:paraId="6712A823" w14:textId="5BE42614" w:rsidR="007E54F1" w:rsidRPr="000232A7" w:rsidRDefault="007E54F1" w:rsidP="00454377">
      <w:pPr>
        <w:pStyle w:val="ListParagraph"/>
        <w:numPr>
          <w:ilvl w:val="0"/>
          <w:numId w:val="2"/>
        </w:numPr>
        <w:jc w:val="both"/>
        <w:rPr>
          <w:rFonts w:ascii="Open Sans" w:hAnsi="Open Sans" w:cs="Open Sans"/>
        </w:rPr>
      </w:pPr>
      <w:r w:rsidRPr="000232A7">
        <w:rPr>
          <w:rFonts w:ascii="Open Sans" w:hAnsi="Open Sans" w:cs="Open Sans"/>
        </w:rPr>
        <w:t xml:space="preserve">Mentis, D., Saklani, A., Ronoh, D., Otieno, V., Woldeamanuel, A.A., Lecaros, S.S., Stockman, J., Anand, S., Khalid, A., Sahar, T. and </w:t>
      </w:r>
      <w:proofErr w:type="spellStart"/>
      <w:r w:rsidRPr="000232A7">
        <w:rPr>
          <w:rFonts w:ascii="Open Sans" w:hAnsi="Open Sans" w:cs="Open Sans"/>
        </w:rPr>
        <w:t>Odeph</w:t>
      </w:r>
      <w:proofErr w:type="spellEnd"/>
      <w:r w:rsidRPr="000232A7">
        <w:rPr>
          <w:rFonts w:ascii="Open Sans" w:hAnsi="Open Sans" w:cs="Open Sans"/>
        </w:rPr>
        <w:t>, C.</w:t>
      </w:r>
      <w:r w:rsidR="00DB53F9" w:rsidRPr="000232A7">
        <w:rPr>
          <w:rFonts w:ascii="Open Sans" w:hAnsi="Open Sans" w:cs="Open Sans"/>
        </w:rPr>
        <w:t xml:space="preserve"> 2023.</w:t>
      </w:r>
      <w:r w:rsidRPr="000232A7">
        <w:rPr>
          <w:rFonts w:ascii="Open Sans" w:hAnsi="Open Sans" w:cs="Open Sans"/>
        </w:rPr>
        <w:t xml:space="preserve"> </w:t>
      </w:r>
      <w:r w:rsidR="00DB53F9" w:rsidRPr="000232A7">
        <w:rPr>
          <w:rFonts w:ascii="Open Sans" w:hAnsi="Open Sans" w:cs="Open Sans"/>
        </w:rPr>
        <w:t>“</w:t>
      </w:r>
      <w:r w:rsidRPr="000232A7">
        <w:rPr>
          <w:rFonts w:ascii="Open Sans" w:hAnsi="Open Sans" w:cs="Open Sans"/>
        </w:rPr>
        <w:t>6 Ways Energy Access Explorer 2.0 Can Deliver Climate-friendly and Viable Energy Transitions</w:t>
      </w:r>
      <w:r w:rsidR="00DB53F9" w:rsidRPr="000232A7">
        <w:rPr>
          <w:rFonts w:ascii="Open Sans" w:hAnsi="Open Sans" w:cs="Open Sans"/>
        </w:rPr>
        <w:t>”</w:t>
      </w:r>
      <w:r w:rsidRPr="000232A7">
        <w:rPr>
          <w:rFonts w:ascii="Open Sans" w:hAnsi="Open Sans" w:cs="Open Sans"/>
        </w:rPr>
        <w:t>.</w:t>
      </w:r>
      <w:r w:rsidR="00DB53F9" w:rsidRPr="000232A7">
        <w:rPr>
          <w:rFonts w:ascii="Open Sans" w:hAnsi="Open Sans" w:cs="Open Sans"/>
        </w:rPr>
        <w:t xml:space="preserve"> </w:t>
      </w:r>
      <w:r w:rsidR="00DB53F9" w:rsidRPr="000232A7">
        <w:rPr>
          <w:rFonts w:ascii="Open Sans" w:eastAsia="Times New Roman" w:hAnsi="Open Sans" w:cs="Open Sans"/>
          <w:kern w:val="0"/>
          <w:lang w:val="en-US" w:eastAsia="en-GB"/>
          <w14:ligatures w14:val="none"/>
        </w:rPr>
        <w:t xml:space="preserve">Washington, DC: World Resources Institute. Available online at: </w:t>
      </w:r>
      <w:hyperlink r:id="rId12" w:history="1">
        <w:r w:rsidR="00DB53F9" w:rsidRPr="000232A7">
          <w:rPr>
            <w:rStyle w:val="Hyperlink"/>
            <w:rFonts w:ascii="Open Sans" w:eastAsia="Times New Roman" w:hAnsi="Open Sans" w:cs="Open Sans"/>
            <w:kern w:val="0"/>
            <w:lang w:val="en-US" w:eastAsia="en-GB"/>
            <w14:ligatures w14:val="none"/>
          </w:rPr>
          <w:t>https://www.wri.org/update/energy-access-explorer-climate-friendly-and-viable-energy-transitions</w:t>
        </w:r>
      </w:hyperlink>
      <w:r w:rsidR="00DB53F9" w:rsidRPr="000232A7">
        <w:rPr>
          <w:rFonts w:ascii="Open Sans" w:eastAsia="Times New Roman" w:hAnsi="Open Sans" w:cs="Open Sans"/>
          <w:kern w:val="0"/>
          <w:lang w:val="en-US" w:eastAsia="en-GB"/>
          <w14:ligatures w14:val="none"/>
        </w:rPr>
        <w:t xml:space="preserve"> </w:t>
      </w:r>
    </w:p>
    <w:p w14:paraId="5CA560D1" w14:textId="30C8588F" w:rsidR="00A1765F" w:rsidRPr="000232A7" w:rsidRDefault="00DB53F9" w:rsidP="003B075B">
      <w:pPr>
        <w:jc w:val="both"/>
        <w:rPr>
          <w:rFonts w:ascii="Open Sans" w:hAnsi="Open Sans" w:cs="Open Sans"/>
        </w:rPr>
      </w:pPr>
      <w:r w:rsidRPr="000232A7">
        <w:rPr>
          <w:rFonts w:ascii="Open Sans" w:hAnsi="Open Sans" w:cs="Open Sans"/>
        </w:rPr>
        <w:t>This project update highlights six practical ways the Energy Access Explorer can expand modern energy services for achieving critical development outcomes.</w:t>
      </w:r>
    </w:p>
    <w:p w14:paraId="764BBC84" w14:textId="5A95B737" w:rsidR="00DB53F9" w:rsidRPr="000232A7" w:rsidRDefault="00DB53F9" w:rsidP="007817CF">
      <w:pPr>
        <w:pStyle w:val="ListParagraph"/>
        <w:numPr>
          <w:ilvl w:val="0"/>
          <w:numId w:val="2"/>
        </w:numPr>
        <w:jc w:val="both"/>
        <w:rPr>
          <w:rFonts w:ascii="Open Sans" w:hAnsi="Open Sans" w:cs="Open Sans"/>
          <w:lang w:val="en-US"/>
        </w:rPr>
      </w:pPr>
      <w:r w:rsidRPr="000232A7">
        <w:rPr>
          <w:rFonts w:ascii="Open Sans" w:hAnsi="Open Sans" w:cs="Open Sans"/>
          <w:lang w:val="sv-SE"/>
        </w:rPr>
        <w:t xml:space="preserve">Mentis, D., Ronoh, D., Saklani, A., Lecaros, S.S., Alemayehu, A., Khalid, A., and Anand, S. 2025. </w:t>
      </w:r>
      <w:r w:rsidRPr="000232A7">
        <w:rPr>
          <w:rFonts w:ascii="Open Sans" w:hAnsi="Open Sans" w:cs="Open Sans"/>
        </w:rPr>
        <w:t>“</w:t>
      </w:r>
      <w:r w:rsidRPr="000232A7">
        <w:rPr>
          <w:rFonts w:ascii="Open Sans" w:hAnsi="Open Sans" w:cs="Open Sans"/>
          <w:lang w:val="en-US"/>
        </w:rPr>
        <w:t xml:space="preserve">Energy Access Explorer: Lessons Learned on Data Governance”. </w:t>
      </w:r>
      <w:r w:rsidRPr="000232A7">
        <w:rPr>
          <w:rFonts w:ascii="Open Sans" w:eastAsia="Times New Roman" w:hAnsi="Open Sans" w:cs="Open Sans"/>
          <w:kern w:val="0"/>
          <w:lang w:val="en-US" w:eastAsia="en-GB"/>
          <w14:ligatures w14:val="none"/>
        </w:rPr>
        <w:t xml:space="preserve">Washington, DC: World Resources Institute. Available online at: </w:t>
      </w:r>
      <w:hyperlink r:id="rId13" w:history="1">
        <w:r w:rsidRPr="000232A7">
          <w:rPr>
            <w:rStyle w:val="Hyperlink"/>
            <w:rFonts w:ascii="Open Sans" w:eastAsia="Times New Roman" w:hAnsi="Open Sans" w:cs="Open Sans"/>
            <w:kern w:val="0"/>
            <w:lang w:val="en-US" w:eastAsia="en-GB"/>
            <w14:ligatures w14:val="none"/>
          </w:rPr>
          <w:t>https://www.wri.org/technical-perspectives/energy-access-explorer-data-governance</w:t>
        </w:r>
      </w:hyperlink>
      <w:r w:rsidRPr="000232A7">
        <w:rPr>
          <w:rFonts w:ascii="Open Sans" w:eastAsia="Times New Roman" w:hAnsi="Open Sans" w:cs="Open Sans"/>
          <w:kern w:val="0"/>
          <w:lang w:val="en-US" w:eastAsia="en-GB"/>
          <w14:ligatures w14:val="none"/>
        </w:rPr>
        <w:t xml:space="preserve"> </w:t>
      </w:r>
    </w:p>
    <w:p w14:paraId="36836E16" w14:textId="3043B5ED" w:rsidR="00D267B5" w:rsidRPr="000232A7" w:rsidRDefault="00B01C72" w:rsidP="00D267B5">
      <w:pPr>
        <w:jc w:val="both"/>
        <w:rPr>
          <w:rFonts w:ascii="Open Sans" w:hAnsi="Open Sans" w:cs="Open Sans"/>
        </w:rPr>
      </w:pPr>
      <w:r w:rsidRPr="000232A7">
        <w:rPr>
          <w:rFonts w:ascii="Open Sans" w:hAnsi="Open Sans" w:cs="Open Sans"/>
        </w:rPr>
        <w:t>This technical perspective demonstrate how improved data governance mechanisms can inform inclusive energy planning, on-the-ground implementation, enhance multi-sector collaboration and ultimately accelerate progress toward universal energy access.</w:t>
      </w:r>
    </w:p>
    <w:p w14:paraId="2E88E71A" w14:textId="77777777" w:rsidR="00BB3110" w:rsidRPr="000232A7" w:rsidRDefault="00BB3110" w:rsidP="003B473B">
      <w:pPr>
        <w:jc w:val="both"/>
        <w:rPr>
          <w:rFonts w:ascii="Open Sans" w:hAnsi="Open Sans" w:cs="Open Sans"/>
        </w:rPr>
      </w:pPr>
    </w:p>
    <w:sectPr w:rsidR="00BB3110" w:rsidRPr="000232A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D19A" w14:textId="77777777" w:rsidR="00222439" w:rsidRDefault="00222439" w:rsidP="00DA2E6E">
      <w:pPr>
        <w:spacing w:after="0" w:line="240" w:lineRule="auto"/>
      </w:pPr>
      <w:r>
        <w:separator/>
      </w:r>
    </w:p>
  </w:endnote>
  <w:endnote w:type="continuationSeparator" w:id="0">
    <w:p w14:paraId="3CAF697A" w14:textId="77777777" w:rsidR="00222439" w:rsidRDefault="00222439" w:rsidP="00DA2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05A9FE" w14:paraId="5AC3204A" w14:textId="77777777" w:rsidTr="7005A9FE">
      <w:trPr>
        <w:trHeight w:val="300"/>
      </w:trPr>
      <w:tc>
        <w:tcPr>
          <w:tcW w:w="3005" w:type="dxa"/>
        </w:tcPr>
        <w:p w14:paraId="132E6ED5" w14:textId="0119FA92" w:rsidR="7005A9FE" w:rsidRDefault="7005A9FE" w:rsidP="7005A9FE">
          <w:pPr>
            <w:pStyle w:val="Header"/>
            <w:ind w:left="-115"/>
          </w:pPr>
        </w:p>
      </w:tc>
      <w:tc>
        <w:tcPr>
          <w:tcW w:w="3005" w:type="dxa"/>
        </w:tcPr>
        <w:p w14:paraId="14124830" w14:textId="19DEC71F" w:rsidR="7005A9FE" w:rsidRDefault="7005A9FE" w:rsidP="7005A9FE">
          <w:pPr>
            <w:pStyle w:val="Header"/>
            <w:jc w:val="center"/>
          </w:pPr>
        </w:p>
      </w:tc>
      <w:tc>
        <w:tcPr>
          <w:tcW w:w="3005" w:type="dxa"/>
        </w:tcPr>
        <w:p w14:paraId="2A69502F" w14:textId="15282737" w:rsidR="7005A9FE" w:rsidRDefault="7005A9FE" w:rsidP="7005A9FE">
          <w:pPr>
            <w:pStyle w:val="Header"/>
            <w:ind w:right="-115"/>
            <w:jc w:val="right"/>
          </w:pPr>
        </w:p>
      </w:tc>
    </w:tr>
  </w:tbl>
  <w:p w14:paraId="4E42C867" w14:textId="5C7A4AF5" w:rsidR="7005A9FE" w:rsidRDefault="7005A9FE" w:rsidP="7005A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D221" w14:textId="77777777" w:rsidR="00222439" w:rsidRDefault="00222439" w:rsidP="00DA2E6E">
      <w:pPr>
        <w:spacing w:after="0" w:line="240" w:lineRule="auto"/>
      </w:pPr>
      <w:r>
        <w:separator/>
      </w:r>
    </w:p>
  </w:footnote>
  <w:footnote w:type="continuationSeparator" w:id="0">
    <w:p w14:paraId="78DF70A5" w14:textId="77777777" w:rsidR="00222439" w:rsidRDefault="00222439" w:rsidP="00DA2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1736" w14:textId="12FE3E2E" w:rsidR="00DA2E6E" w:rsidRDefault="001113F1">
    <w:pPr>
      <w:pStyle w:val="Header"/>
    </w:pPr>
    <w:r>
      <w:rPr>
        <w:noProof/>
      </w:rPr>
      <w:drawing>
        <wp:anchor distT="0" distB="0" distL="114300" distR="114300" simplePos="0" relativeHeight="251661312" behindDoc="0" locked="0" layoutInCell="1" allowOverlap="1" wp14:anchorId="376E531F" wp14:editId="53624707">
          <wp:simplePos x="0" y="0"/>
          <wp:positionH relativeFrom="column">
            <wp:posOffset>3143250</wp:posOffset>
          </wp:positionH>
          <wp:positionV relativeFrom="paragraph">
            <wp:posOffset>-284480</wp:posOffset>
          </wp:positionV>
          <wp:extent cx="808771" cy="457726"/>
          <wp:effectExtent l="0" t="0" r="0" b="0"/>
          <wp:wrapNone/>
          <wp:docPr id="1412390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90659" name="Picture 1"/>
                  <pic:cNvPicPr/>
                </pic:nvPicPr>
                <pic:blipFill>
                  <a:blip r:embed="rId1">
                    <a:extLst>
                      <a:ext uri="{28A0092B-C50C-407E-A947-70E740481C1C}">
                        <a14:useLocalDpi xmlns:a14="http://schemas.microsoft.com/office/drawing/2010/main"/>
                      </a:ext>
                    </a:extLst>
                  </a:blip>
                  <a:stretch>
                    <a:fillRect/>
                  </a:stretch>
                </pic:blipFill>
                <pic:spPr>
                  <a:xfrm>
                    <a:off x="0" y="0"/>
                    <a:ext cx="808771" cy="457726"/>
                  </a:xfrm>
                  <a:prstGeom prst="rect">
                    <a:avLst/>
                  </a:prstGeom>
                </pic:spPr>
              </pic:pic>
            </a:graphicData>
          </a:graphic>
          <wp14:sizeRelV relativeFrom="margin">
            <wp14:pctHeight>0</wp14:pctHeight>
          </wp14:sizeRelV>
        </wp:anchor>
      </w:drawing>
    </w:r>
    <w:r w:rsidR="000B0F73">
      <w:rPr>
        <w:noProof/>
      </w:rPr>
      <w:drawing>
        <wp:anchor distT="57150" distB="57150" distL="57150" distR="57150" simplePos="0" relativeHeight="251660288" behindDoc="1" locked="0" layoutInCell="1" hidden="0" allowOverlap="1" wp14:anchorId="4F3A478D" wp14:editId="5CEB3A6A">
          <wp:simplePos x="0" y="0"/>
          <wp:positionH relativeFrom="column">
            <wp:posOffset>-635000</wp:posOffset>
          </wp:positionH>
          <wp:positionV relativeFrom="paragraph">
            <wp:posOffset>-240030</wp:posOffset>
          </wp:positionV>
          <wp:extent cx="2876550" cy="4762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2876550" cy="476250"/>
                  </a:xfrm>
                  <a:prstGeom prst="rect">
                    <a:avLst/>
                  </a:prstGeom>
                  <a:ln/>
                </pic:spPr>
              </pic:pic>
            </a:graphicData>
          </a:graphic>
          <wp14:sizeRelH relativeFrom="margin">
            <wp14:pctWidth>0</wp14:pctWidth>
          </wp14:sizeRelH>
          <wp14:sizeRelV relativeFrom="margin">
            <wp14:pctHeight>0</wp14:pctHeight>
          </wp14:sizeRelV>
        </wp:anchor>
      </w:drawing>
    </w:r>
    <w:r w:rsidR="000B0F73">
      <w:rPr>
        <w:noProof/>
      </w:rPr>
      <w:drawing>
        <wp:anchor distT="114300" distB="114300" distL="114300" distR="114300" simplePos="0" relativeHeight="251659264" behindDoc="1" locked="0" layoutInCell="1" hidden="0" allowOverlap="1" wp14:anchorId="4CDA487B" wp14:editId="17A84196">
          <wp:simplePos x="0" y="0"/>
          <wp:positionH relativeFrom="rightMargin">
            <wp:posOffset>-284480</wp:posOffset>
          </wp:positionH>
          <wp:positionV relativeFrom="paragraph">
            <wp:posOffset>-354965</wp:posOffset>
          </wp:positionV>
          <wp:extent cx="527198" cy="527198"/>
          <wp:effectExtent l="0" t="0" r="6350" b="635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527198" cy="527198"/>
                  </a:xfrm>
                  <a:prstGeom prst="rect">
                    <a:avLst/>
                  </a:prstGeom>
                  <a:ln/>
                </pic:spPr>
              </pic:pic>
            </a:graphicData>
          </a:graphic>
        </wp:anchor>
      </w:drawing>
    </w:r>
    <w:r w:rsidR="27E31BFA">
      <w:t xml:space="preserve">                                                                                              </w:t>
    </w:r>
    <w:r>
      <w:t xml:space="preserve">         </w:t>
    </w:r>
    <w:r w:rsidR="27E31BF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54F44"/>
    <w:multiLevelType w:val="hybridMultilevel"/>
    <w:tmpl w:val="430EC0EC"/>
    <w:lvl w:ilvl="0" w:tplc="F28EC064">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B35D1"/>
    <w:multiLevelType w:val="hybridMultilevel"/>
    <w:tmpl w:val="D8E6A7F2"/>
    <w:lvl w:ilvl="0" w:tplc="75A48B56">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145381">
    <w:abstractNumId w:val="1"/>
  </w:num>
  <w:num w:numId="2" w16cid:durableId="164353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56"/>
    <w:rsid w:val="000232A7"/>
    <w:rsid w:val="000261A5"/>
    <w:rsid w:val="000640DD"/>
    <w:rsid w:val="00064EE2"/>
    <w:rsid w:val="00074CF6"/>
    <w:rsid w:val="000B0695"/>
    <w:rsid w:val="000B0F73"/>
    <w:rsid w:val="000F35E3"/>
    <w:rsid w:val="0010717E"/>
    <w:rsid w:val="001113F1"/>
    <w:rsid w:val="0011168F"/>
    <w:rsid w:val="00135E0D"/>
    <w:rsid w:val="00153900"/>
    <w:rsid w:val="00222439"/>
    <w:rsid w:val="002A3A8F"/>
    <w:rsid w:val="002F03E0"/>
    <w:rsid w:val="003B075B"/>
    <w:rsid w:val="003B473B"/>
    <w:rsid w:val="003C11AB"/>
    <w:rsid w:val="003E1DC7"/>
    <w:rsid w:val="003E652E"/>
    <w:rsid w:val="00454377"/>
    <w:rsid w:val="00525813"/>
    <w:rsid w:val="00530BF8"/>
    <w:rsid w:val="005A01C3"/>
    <w:rsid w:val="006A26EE"/>
    <w:rsid w:val="006B15A1"/>
    <w:rsid w:val="006D7A07"/>
    <w:rsid w:val="00700B90"/>
    <w:rsid w:val="00795225"/>
    <w:rsid w:val="007E54F1"/>
    <w:rsid w:val="007F58F2"/>
    <w:rsid w:val="008307DF"/>
    <w:rsid w:val="00833004"/>
    <w:rsid w:val="00874798"/>
    <w:rsid w:val="0088624D"/>
    <w:rsid w:val="00915B5C"/>
    <w:rsid w:val="009C52D7"/>
    <w:rsid w:val="009F4E44"/>
    <w:rsid w:val="009F775C"/>
    <w:rsid w:val="00A1765F"/>
    <w:rsid w:val="00A422F9"/>
    <w:rsid w:val="00A6436A"/>
    <w:rsid w:val="00AB7156"/>
    <w:rsid w:val="00AE08F4"/>
    <w:rsid w:val="00B01C72"/>
    <w:rsid w:val="00B44C2D"/>
    <w:rsid w:val="00B66E29"/>
    <w:rsid w:val="00BB3110"/>
    <w:rsid w:val="00BC7832"/>
    <w:rsid w:val="00C04920"/>
    <w:rsid w:val="00C23B50"/>
    <w:rsid w:val="00C7239E"/>
    <w:rsid w:val="00D267B5"/>
    <w:rsid w:val="00D46CEF"/>
    <w:rsid w:val="00DA2E6E"/>
    <w:rsid w:val="00DB53F9"/>
    <w:rsid w:val="00E03135"/>
    <w:rsid w:val="00E469FB"/>
    <w:rsid w:val="00E95318"/>
    <w:rsid w:val="00EE77DA"/>
    <w:rsid w:val="00EF404E"/>
    <w:rsid w:val="00F05C6E"/>
    <w:rsid w:val="00F35882"/>
    <w:rsid w:val="00F62CB7"/>
    <w:rsid w:val="00F806DC"/>
    <w:rsid w:val="00FA53B4"/>
    <w:rsid w:val="00FF0D74"/>
    <w:rsid w:val="0165F6DD"/>
    <w:rsid w:val="14587967"/>
    <w:rsid w:val="1D94F23C"/>
    <w:rsid w:val="27E31BFA"/>
    <w:rsid w:val="7005A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DCB6"/>
  <w15:chartTrackingRefBased/>
  <w15:docId w15:val="{EB944782-B1FD-4FB6-A9E7-432B1503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156"/>
    <w:rPr>
      <w:rFonts w:eastAsiaTheme="majorEastAsia" w:cstheme="majorBidi"/>
      <w:color w:val="272727" w:themeColor="text1" w:themeTint="D8"/>
    </w:rPr>
  </w:style>
  <w:style w:type="paragraph" w:styleId="Title">
    <w:name w:val="Title"/>
    <w:basedOn w:val="Normal"/>
    <w:next w:val="Normal"/>
    <w:link w:val="TitleChar"/>
    <w:uiPriority w:val="10"/>
    <w:qFormat/>
    <w:rsid w:val="00AB7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156"/>
    <w:pPr>
      <w:spacing w:before="160"/>
      <w:jc w:val="center"/>
    </w:pPr>
    <w:rPr>
      <w:i/>
      <w:iCs/>
      <w:color w:val="404040" w:themeColor="text1" w:themeTint="BF"/>
    </w:rPr>
  </w:style>
  <w:style w:type="character" w:customStyle="1" w:styleId="QuoteChar">
    <w:name w:val="Quote Char"/>
    <w:basedOn w:val="DefaultParagraphFont"/>
    <w:link w:val="Quote"/>
    <w:uiPriority w:val="29"/>
    <w:rsid w:val="00AB7156"/>
    <w:rPr>
      <w:i/>
      <w:iCs/>
      <w:color w:val="404040" w:themeColor="text1" w:themeTint="BF"/>
    </w:rPr>
  </w:style>
  <w:style w:type="paragraph" w:styleId="ListParagraph">
    <w:name w:val="List Paragraph"/>
    <w:basedOn w:val="Normal"/>
    <w:uiPriority w:val="34"/>
    <w:qFormat/>
    <w:rsid w:val="00AB7156"/>
    <w:pPr>
      <w:ind w:left="720"/>
      <w:contextualSpacing/>
    </w:pPr>
  </w:style>
  <w:style w:type="character" w:styleId="IntenseEmphasis">
    <w:name w:val="Intense Emphasis"/>
    <w:basedOn w:val="DefaultParagraphFont"/>
    <w:uiPriority w:val="21"/>
    <w:qFormat/>
    <w:rsid w:val="00AB7156"/>
    <w:rPr>
      <w:i/>
      <w:iCs/>
      <w:color w:val="0F4761" w:themeColor="accent1" w:themeShade="BF"/>
    </w:rPr>
  </w:style>
  <w:style w:type="paragraph" w:styleId="IntenseQuote">
    <w:name w:val="Intense Quote"/>
    <w:basedOn w:val="Normal"/>
    <w:next w:val="Normal"/>
    <w:link w:val="IntenseQuoteChar"/>
    <w:uiPriority w:val="30"/>
    <w:qFormat/>
    <w:rsid w:val="00AB7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156"/>
    <w:rPr>
      <w:i/>
      <w:iCs/>
      <w:color w:val="0F4761" w:themeColor="accent1" w:themeShade="BF"/>
    </w:rPr>
  </w:style>
  <w:style w:type="character" w:styleId="IntenseReference">
    <w:name w:val="Intense Reference"/>
    <w:basedOn w:val="DefaultParagraphFont"/>
    <w:uiPriority w:val="32"/>
    <w:qFormat/>
    <w:rsid w:val="00AB7156"/>
    <w:rPr>
      <w:b/>
      <w:bCs/>
      <w:smallCaps/>
      <w:color w:val="0F4761" w:themeColor="accent1" w:themeShade="BF"/>
      <w:spacing w:val="5"/>
    </w:rPr>
  </w:style>
  <w:style w:type="paragraph" w:styleId="Header">
    <w:name w:val="header"/>
    <w:basedOn w:val="Normal"/>
    <w:link w:val="HeaderChar"/>
    <w:uiPriority w:val="99"/>
    <w:unhideWhenUsed/>
    <w:rsid w:val="00DA2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E6E"/>
  </w:style>
  <w:style w:type="paragraph" w:styleId="Footer">
    <w:name w:val="footer"/>
    <w:basedOn w:val="Normal"/>
    <w:link w:val="FooterChar"/>
    <w:uiPriority w:val="99"/>
    <w:unhideWhenUsed/>
    <w:rsid w:val="00DA2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E6E"/>
  </w:style>
  <w:style w:type="character" w:styleId="Hyperlink">
    <w:name w:val="Hyperlink"/>
    <w:basedOn w:val="DefaultParagraphFont"/>
    <w:uiPriority w:val="99"/>
    <w:unhideWhenUsed/>
    <w:rsid w:val="005A01C3"/>
    <w:rPr>
      <w:color w:val="467886" w:themeColor="hyperlink"/>
      <w:u w:val="single"/>
    </w:rPr>
  </w:style>
  <w:style w:type="character" w:styleId="UnresolvedMention">
    <w:name w:val="Unresolved Mention"/>
    <w:basedOn w:val="DefaultParagraphFont"/>
    <w:uiPriority w:val="99"/>
    <w:semiHidden/>
    <w:unhideWhenUsed/>
    <w:rsid w:val="005A01C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74CF6"/>
    <w:rPr>
      <w:color w:val="96607D"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9390">
      <w:bodyDiv w:val="1"/>
      <w:marLeft w:val="0"/>
      <w:marRight w:val="0"/>
      <w:marTop w:val="0"/>
      <w:marBottom w:val="0"/>
      <w:divBdr>
        <w:top w:val="none" w:sz="0" w:space="0" w:color="auto"/>
        <w:left w:val="none" w:sz="0" w:space="0" w:color="auto"/>
        <w:bottom w:val="none" w:sz="0" w:space="0" w:color="auto"/>
        <w:right w:val="none" w:sz="0" w:space="0" w:color="auto"/>
      </w:divBdr>
    </w:div>
    <w:div w:id="289821241">
      <w:bodyDiv w:val="1"/>
      <w:marLeft w:val="0"/>
      <w:marRight w:val="0"/>
      <w:marTop w:val="0"/>
      <w:marBottom w:val="0"/>
      <w:divBdr>
        <w:top w:val="none" w:sz="0" w:space="0" w:color="auto"/>
        <w:left w:val="none" w:sz="0" w:space="0" w:color="auto"/>
        <w:bottom w:val="none" w:sz="0" w:space="0" w:color="auto"/>
        <w:right w:val="none" w:sz="0" w:space="0" w:color="auto"/>
      </w:divBdr>
      <w:divsChild>
        <w:div w:id="371073310">
          <w:marLeft w:val="0"/>
          <w:marRight w:val="0"/>
          <w:marTop w:val="0"/>
          <w:marBottom w:val="0"/>
          <w:divBdr>
            <w:top w:val="none" w:sz="0" w:space="0" w:color="auto"/>
            <w:left w:val="none" w:sz="0" w:space="0" w:color="auto"/>
            <w:bottom w:val="none" w:sz="0" w:space="0" w:color="auto"/>
            <w:right w:val="none" w:sz="0" w:space="0" w:color="auto"/>
          </w:divBdr>
        </w:div>
      </w:divsChild>
    </w:div>
    <w:div w:id="325671475">
      <w:bodyDiv w:val="1"/>
      <w:marLeft w:val="0"/>
      <w:marRight w:val="0"/>
      <w:marTop w:val="0"/>
      <w:marBottom w:val="0"/>
      <w:divBdr>
        <w:top w:val="none" w:sz="0" w:space="0" w:color="auto"/>
        <w:left w:val="none" w:sz="0" w:space="0" w:color="auto"/>
        <w:bottom w:val="none" w:sz="0" w:space="0" w:color="auto"/>
        <w:right w:val="none" w:sz="0" w:space="0" w:color="auto"/>
      </w:divBdr>
    </w:div>
    <w:div w:id="357197243">
      <w:bodyDiv w:val="1"/>
      <w:marLeft w:val="0"/>
      <w:marRight w:val="0"/>
      <w:marTop w:val="0"/>
      <w:marBottom w:val="0"/>
      <w:divBdr>
        <w:top w:val="none" w:sz="0" w:space="0" w:color="auto"/>
        <w:left w:val="none" w:sz="0" w:space="0" w:color="auto"/>
        <w:bottom w:val="none" w:sz="0" w:space="0" w:color="auto"/>
        <w:right w:val="none" w:sz="0" w:space="0" w:color="auto"/>
      </w:divBdr>
    </w:div>
    <w:div w:id="509564957">
      <w:bodyDiv w:val="1"/>
      <w:marLeft w:val="0"/>
      <w:marRight w:val="0"/>
      <w:marTop w:val="0"/>
      <w:marBottom w:val="0"/>
      <w:divBdr>
        <w:top w:val="none" w:sz="0" w:space="0" w:color="auto"/>
        <w:left w:val="none" w:sz="0" w:space="0" w:color="auto"/>
        <w:bottom w:val="none" w:sz="0" w:space="0" w:color="auto"/>
        <w:right w:val="none" w:sz="0" w:space="0" w:color="auto"/>
      </w:divBdr>
    </w:div>
    <w:div w:id="511528418">
      <w:bodyDiv w:val="1"/>
      <w:marLeft w:val="0"/>
      <w:marRight w:val="0"/>
      <w:marTop w:val="0"/>
      <w:marBottom w:val="0"/>
      <w:divBdr>
        <w:top w:val="none" w:sz="0" w:space="0" w:color="auto"/>
        <w:left w:val="none" w:sz="0" w:space="0" w:color="auto"/>
        <w:bottom w:val="none" w:sz="0" w:space="0" w:color="auto"/>
        <w:right w:val="none" w:sz="0" w:space="0" w:color="auto"/>
      </w:divBdr>
      <w:divsChild>
        <w:div w:id="1071269383">
          <w:marLeft w:val="0"/>
          <w:marRight w:val="0"/>
          <w:marTop w:val="0"/>
          <w:marBottom w:val="0"/>
          <w:divBdr>
            <w:top w:val="none" w:sz="0" w:space="0" w:color="auto"/>
            <w:left w:val="none" w:sz="0" w:space="0" w:color="auto"/>
            <w:bottom w:val="none" w:sz="0" w:space="0" w:color="auto"/>
            <w:right w:val="none" w:sz="0" w:space="0" w:color="auto"/>
          </w:divBdr>
        </w:div>
      </w:divsChild>
    </w:div>
    <w:div w:id="600534143">
      <w:bodyDiv w:val="1"/>
      <w:marLeft w:val="0"/>
      <w:marRight w:val="0"/>
      <w:marTop w:val="0"/>
      <w:marBottom w:val="0"/>
      <w:divBdr>
        <w:top w:val="none" w:sz="0" w:space="0" w:color="auto"/>
        <w:left w:val="none" w:sz="0" w:space="0" w:color="auto"/>
        <w:bottom w:val="none" w:sz="0" w:space="0" w:color="auto"/>
        <w:right w:val="none" w:sz="0" w:space="0" w:color="auto"/>
      </w:divBdr>
    </w:div>
    <w:div w:id="738408855">
      <w:bodyDiv w:val="1"/>
      <w:marLeft w:val="0"/>
      <w:marRight w:val="0"/>
      <w:marTop w:val="0"/>
      <w:marBottom w:val="0"/>
      <w:divBdr>
        <w:top w:val="none" w:sz="0" w:space="0" w:color="auto"/>
        <w:left w:val="none" w:sz="0" w:space="0" w:color="auto"/>
        <w:bottom w:val="none" w:sz="0" w:space="0" w:color="auto"/>
        <w:right w:val="none" w:sz="0" w:space="0" w:color="auto"/>
      </w:divBdr>
      <w:divsChild>
        <w:div w:id="2115635889">
          <w:marLeft w:val="0"/>
          <w:marRight w:val="0"/>
          <w:marTop w:val="0"/>
          <w:marBottom w:val="0"/>
          <w:divBdr>
            <w:top w:val="none" w:sz="0" w:space="0" w:color="auto"/>
            <w:left w:val="none" w:sz="0" w:space="0" w:color="auto"/>
            <w:bottom w:val="none" w:sz="0" w:space="0" w:color="auto"/>
            <w:right w:val="none" w:sz="0" w:space="0" w:color="auto"/>
          </w:divBdr>
        </w:div>
      </w:divsChild>
    </w:div>
    <w:div w:id="804274294">
      <w:bodyDiv w:val="1"/>
      <w:marLeft w:val="0"/>
      <w:marRight w:val="0"/>
      <w:marTop w:val="0"/>
      <w:marBottom w:val="0"/>
      <w:divBdr>
        <w:top w:val="none" w:sz="0" w:space="0" w:color="auto"/>
        <w:left w:val="none" w:sz="0" w:space="0" w:color="auto"/>
        <w:bottom w:val="none" w:sz="0" w:space="0" w:color="auto"/>
        <w:right w:val="none" w:sz="0" w:space="0" w:color="auto"/>
      </w:divBdr>
    </w:div>
    <w:div w:id="934215690">
      <w:bodyDiv w:val="1"/>
      <w:marLeft w:val="0"/>
      <w:marRight w:val="0"/>
      <w:marTop w:val="0"/>
      <w:marBottom w:val="0"/>
      <w:divBdr>
        <w:top w:val="none" w:sz="0" w:space="0" w:color="auto"/>
        <w:left w:val="none" w:sz="0" w:space="0" w:color="auto"/>
        <w:bottom w:val="none" w:sz="0" w:space="0" w:color="auto"/>
        <w:right w:val="none" w:sz="0" w:space="0" w:color="auto"/>
      </w:divBdr>
    </w:div>
    <w:div w:id="1009068149">
      <w:bodyDiv w:val="1"/>
      <w:marLeft w:val="0"/>
      <w:marRight w:val="0"/>
      <w:marTop w:val="0"/>
      <w:marBottom w:val="0"/>
      <w:divBdr>
        <w:top w:val="none" w:sz="0" w:space="0" w:color="auto"/>
        <w:left w:val="none" w:sz="0" w:space="0" w:color="auto"/>
        <w:bottom w:val="none" w:sz="0" w:space="0" w:color="auto"/>
        <w:right w:val="none" w:sz="0" w:space="0" w:color="auto"/>
      </w:divBdr>
    </w:div>
    <w:div w:id="1247109417">
      <w:bodyDiv w:val="1"/>
      <w:marLeft w:val="0"/>
      <w:marRight w:val="0"/>
      <w:marTop w:val="0"/>
      <w:marBottom w:val="0"/>
      <w:divBdr>
        <w:top w:val="none" w:sz="0" w:space="0" w:color="auto"/>
        <w:left w:val="none" w:sz="0" w:space="0" w:color="auto"/>
        <w:bottom w:val="none" w:sz="0" w:space="0" w:color="auto"/>
        <w:right w:val="none" w:sz="0" w:space="0" w:color="auto"/>
      </w:divBdr>
      <w:divsChild>
        <w:div w:id="535509451">
          <w:marLeft w:val="0"/>
          <w:marRight w:val="0"/>
          <w:marTop w:val="0"/>
          <w:marBottom w:val="0"/>
          <w:divBdr>
            <w:top w:val="none" w:sz="0" w:space="0" w:color="auto"/>
            <w:left w:val="none" w:sz="0" w:space="0" w:color="auto"/>
            <w:bottom w:val="none" w:sz="0" w:space="0" w:color="auto"/>
            <w:right w:val="none" w:sz="0" w:space="0" w:color="auto"/>
          </w:divBdr>
        </w:div>
      </w:divsChild>
    </w:div>
    <w:div w:id="1346831035">
      <w:bodyDiv w:val="1"/>
      <w:marLeft w:val="0"/>
      <w:marRight w:val="0"/>
      <w:marTop w:val="0"/>
      <w:marBottom w:val="0"/>
      <w:divBdr>
        <w:top w:val="none" w:sz="0" w:space="0" w:color="auto"/>
        <w:left w:val="none" w:sz="0" w:space="0" w:color="auto"/>
        <w:bottom w:val="none" w:sz="0" w:space="0" w:color="auto"/>
        <w:right w:val="none" w:sz="0" w:space="0" w:color="auto"/>
      </w:divBdr>
    </w:div>
    <w:div w:id="1415200189">
      <w:bodyDiv w:val="1"/>
      <w:marLeft w:val="0"/>
      <w:marRight w:val="0"/>
      <w:marTop w:val="0"/>
      <w:marBottom w:val="0"/>
      <w:divBdr>
        <w:top w:val="none" w:sz="0" w:space="0" w:color="auto"/>
        <w:left w:val="none" w:sz="0" w:space="0" w:color="auto"/>
        <w:bottom w:val="none" w:sz="0" w:space="0" w:color="auto"/>
        <w:right w:val="none" w:sz="0" w:space="0" w:color="auto"/>
      </w:divBdr>
    </w:div>
    <w:div w:id="1775203767">
      <w:bodyDiv w:val="1"/>
      <w:marLeft w:val="0"/>
      <w:marRight w:val="0"/>
      <w:marTop w:val="0"/>
      <w:marBottom w:val="0"/>
      <w:divBdr>
        <w:top w:val="none" w:sz="0" w:space="0" w:color="auto"/>
        <w:left w:val="none" w:sz="0" w:space="0" w:color="auto"/>
        <w:bottom w:val="none" w:sz="0" w:space="0" w:color="auto"/>
        <w:right w:val="none" w:sz="0" w:space="0" w:color="auto"/>
      </w:divBdr>
    </w:div>
    <w:div w:id="20666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i.org/publication/energy-access-explorer" TargetMode="External"/><Relationship Id="rId13" Type="http://schemas.openxmlformats.org/officeDocument/2006/relationships/hyperlink" Target="https://www.wri.org/technical-perspectives/energy-access-explorer-data-governance"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hyperlink" Target="https://www.wri.org/update/energy-access-explorer-climate-friendly-and-viable-energy-transi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6830/wripn.23.000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46830/wripn.22.00145" TargetMode="External"/><Relationship Id="rId4" Type="http://schemas.openxmlformats.org/officeDocument/2006/relationships/webSettings" Target="webSettings.xml"/><Relationship Id="rId9" Type="http://schemas.openxmlformats.org/officeDocument/2006/relationships/hyperlink" Target="https://doi.org/10.46830/writn.21.0009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3793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Fynn Kiley</dc:creator>
  <cp:keywords/>
  <dc:description/>
  <cp:lastModifiedBy>Alemayehu Woldeamanuel</cp:lastModifiedBy>
  <cp:revision>46</cp:revision>
  <dcterms:created xsi:type="dcterms:W3CDTF">2025-06-04T13:13:00Z</dcterms:created>
  <dcterms:modified xsi:type="dcterms:W3CDTF">2026-01-16T07:45:00Z</dcterms:modified>
</cp:coreProperties>
</file>