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1457" w14:textId="206F4A4A" w:rsidR="009F094F" w:rsidRPr="00687319" w:rsidRDefault="00D8041C" w:rsidP="0043610E">
      <w:pPr>
        <w:pStyle w:val="Title"/>
        <w:spacing w:before="120" w:after="120"/>
        <w:rPr>
          <w:rFonts w:ascii="Open Sans" w:hAnsi="Open Sans" w:cs="Open Sans"/>
        </w:rPr>
      </w:pPr>
      <w:r w:rsidRPr="00687319">
        <w:rPr>
          <w:rFonts w:ascii="Open Sans" w:hAnsi="Open Sans" w:cs="Open Sans"/>
        </w:rPr>
        <w:t>Example Course Timetable</w:t>
      </w:r>
    </w:p>
    <w:p w14:paraId="64CBC59B" w14:textId="31EF81E5" w:rsidR="008738AB" w:rsidRPr="00687319" w:rsidRDefault="008738AB" w:rsidP="008738AB">
      <w:pPr>
        <w:rPr>
          <w:rFonts w:ascii="Open Sans" w:hAnsi="Open Sans" w:cs="Open Sans"/>
        </w:rPr>
      </w:pPr>
      <w:r w:rsidRPr="00687319">
        <w:rPr>
          <w:rFonts w:ascii="Open Sans" w:hAnsi="Open Sans" w:cs="Open Sans"/>
          <w:b/>
          <w:bCs/>
        </w:rPr>
        <w:t>License:</w:t>
      </w:r>
      <w:r w:rsidR="00094A49">
        <w:rPr>
          <w:rFonts w:ascii="Open Sans" w:hAnsi="Open Sans" w:cs="Open Sans"/>
          <w:b/>
          <w:bCs/>
        </w:rPr>
        <w:t xml:space="preserve"> </w:t>
      </w:r>
      <w:r w:rsidRPr="00687319">
        <w:rPr>
          <w:rFonts w:ascii="Open Sans" w:hAnsi="Open Sans" w:cs="Open Sans"/>
        </w:rPr>
        <w:t>This work is licensed under the Creative Commons Attribution 4.0 International License (CC BY 4.0). To view a copy of this license, visit</w:t>
      </w:r>
      <w:r w:rsidR="00687319">
        <w:rPr>
          <w:rFonts w:ascii="Open Sans" w:hAnsi="Open Sans" w:cs="Open Sans"/>
        </w:rPr>
        <w:t xml:space="preserve"> </w:t>
      </w:r>
      <w:hyperlink r:id="rId6" w:history="1">
        <w:r w:rsidR="00687319" w:rsidRPr="00097D06">
          <w:rPr>
            <w:rStyle w:val="Hyperlink"/>
            <w:rFonts w:ascii="Open Sans" w:hAnsi="Open Sans" w:cs="Open Sans"/>
          </w:rPr>
          <w:t>https://creativecommons.org/licenses/by/4.0/</w:t>
        </w:r>
      </w:hyperlink>
    </w:p>
    <w:p w14:paraId="7868C524" w14:textId="77777777" w:rsidR="008738AB" w:rsidRPr="00687319" w:rsidRDefault="008738AB" w:rsidP="008738AB">
      <w:pPr>
        <w:rPr>
          <w:rFonts w:ascii="Open Sans" w:hAnsi="Open Sans" w:cs="Open Sans"/>
          <w:b/>
          <w:bCs/>
        </w:rPr>
      </w:pPr>
      <w:r w:rsidRPr="00687319">
        <w:rPr>
          <w:rFonts w:ascii="Open Sans" w:hAnsi="Open Sans" w:cs="Open Sans"/>
          <w:b/>
          <w:bCs/>
        </w:rPr>
        <w:t>Attribution:</w:t>
      </w:r>
    </w:p>
    <w:p w14:paraId="665FDD41" w14:textId="77777777" w:rsidR="008738AB" w:rsidRPr="00687319" w:rsidRDefault="008738AB" w:rsidP="008738AB">
      <w:pPr>
        <w:rPr>
          <w:rFonts w:ascii="Open Sans" w:eastAsiaTheme="minorEastAsia" w:hAnsi="Open Sans" w:cs="Open Sans"/>
        </w:rPr>
      </w:pPr>
      <w:r w:rsidRPr="00687319">
        <w:rPr>
          <w:rFonts w:ascii="Open Sans" w:eastAsiaTheme="minorEastAsia" w:hAnsi="Open Sans" w:cs="Open Sans"/>
        </w:rPr>
        <w:t xml:space="preserve">Please cite as: </w:t>
      </w:r>
      <w:r w:rsidRPr="00687319">
        <w:rPr>
          <w:rFonts w:ascii="Open Sans" w:eastAsiaTheme="minorEastAsia" w:hAnsi="Open Sans" w:cs="Open Sans"/>
          <w:lang w:val="en-US"/>
        </w:rPr>
        <w:t xml:space="preserve">Woldeamanuel, A. A., Khalid, A., Anand, S., Sahar, T., Saklani, A., Sinclair-Lecaros, S., Mentis, D., Ronoh, D., &amp; Stockman, J., </w:t>
      </w:r>
      <w:r w:rsidRPr="00687319">
        <w:rPr>
          <w:rFonts w:ascii="Open Sans" w:eastAsiaTheme="minorEastAsia" w:hAnsi="Open Sans" w:cs="Open Sans"/>
        </w:rPr>
        <w:t>2026. Data Driven, Integrated and Inclusive Energy Planning with Energy Access Explorer. Version 1. Climate Compatible Growth Teaching Kit Website, Climate Compatible Growth.</w:t>
      </w:r>
    </w:p>
    <w:p w14:paraId="12D65D36" w14:textId="03EF46B2" w:rsidR="00D8041C" w:rsidRPr="00687319" w:rsidRDefault="00D8041C" w:rsidP="0043610E">
      <w:pPr>
        <w:pStyle w:val="Title"/>
        <w:spacing w:before="120" w:after="120" w:line="360" w:lineRule="auto"/>
        <w:jc w:val="both"/>
        <w:rPr>
          <w:rFonts w:ascii="Open Sans" w:hAnsi="Open Sans" w:cs="Open Sans"/>
          <w:sz w:val="22"/>
          <w:szCs w:val="22"/>
        </w:rPr>
      </w:pPr>
      <w:r w:rsidRPr="00687319">
        <w:rPr>
          <w:rFonts w:ascii="Open Sans" w:hAnsi="Open Sans" w:cs="Open Sans"/>
          <w:sz w:val="22"/>
          <w:szCs w:val="22"/>
        </w:rPr>
        <w:t>The following provides an example timetable that make up the course ‘</w:t>
      </w:r>
      <w:bookmarkStart w:id="0" w:name="_Hlk201240500"/>
      <w:r w:rsidR="0054175B" w:rsidRPr="00687319">
        <w:rPr>
          <w:rFonts w:ascii="Open Sans" w:hAnsi="Open Sans" w:cs="Open Sans"/>
          <w:sz w:val="22"/>
          <w:szCs w:val="22"/>
        </w:rPr>
        <w:t>Data Driven, Integrated and Inclusive Energy Planning with Energy Access Explorer</w:t>
      </w:r>
      <w:bookmarkEnd w:id="0"/>
      <w:r w:rsidRPr="00687319">
        <w:rPr>
          <w:rFonts w:ascii="Open Sans" w:hAnsi="Open Sans" w:cs="Open Sans"/>
          <w:sz w:val="22"/>
          <w:szCs w:val="22"/>
        </w:rPr>
        <w:t>’. It is designed to be flexible so provides only an indication of how the course can be structured. Instructors are encouraged to modify it to fit the intended outcomes of their course.</w:t>
      </w:r>
      <w:r w:rsidR="00CF4E54" w:rsidRPr="00687319">
        <w:rPr>
          <w:rFonts w:ascii="Open Sans" w:hAnsi="Open Sans" w:cs="Open Sans"/>
          <w:sz w:val="22"/>
          <w:szCs w:val="22"/>
        </w:rPr>
        <w:t xml:space="preserve"> Time allowances are indicative and will vary according to student experience.</w:t>
      </w:r>
    </w:p>
    <w:tbl>
      <w:tblPr>
        <w:tblStyle w:val="PlainTable2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6961"/>
        <w:gridCol w:w="1200"/>
      </w:tblGrid>
      <w:tr w:rsidR="00CF4E54" w:rsidRPr="00687319" w14:paraId="7A31DF5C" w14:textId="7DEB1C38" w:rsidTr="00687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tcBorders>
              <w:bottom w:val="none" w:sz="0" w:space="0" w:color="auto"/>
            </w:tcBorders>
          </w:tcPr>
          <w:p w14:paraId="01673830" w14:textId="223D1A53" w:rsidR="00CF4E54" w:rsidRPr="00687319" w:rsidRDefault="00CF4E54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Week</w:t>
            </w:r>
          </w:p>
        </w:tc>
        <w:tc>
          <w:tcPr>
            <w:tcW w:w="6961" w:type="dxa"/>
            <w:tcBorders>
              <w:bottom w:val="none" w:sz="0" w:space="0" w:color="auto"/>
            </w:tcBorders>
          </w:tcPr>
          <w:p w14:paraId="6FE3333F" w14:textId="7923CB37" w:rsidR="00CF4E54" w:rsidRPr="00687319" w:rsidRDefault="00CF4E54" w:rsidP="00687319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Description</w:t>
            </w:r>
          </w:p>
        </w:tc>
        <w:tc>
          <w:tcPr>
            <w:tcW w:w="1200" w:type="dxa"/>
            <w:tcBorders>
              <w:bottom w:val="none" w:sz="0" w:space="0" w:color="auto"/>
            </w:tcBorders>
          </w:tcPr>
          <w:p w14:paraId="3FA68562" w14:textId="5F880F2B" w:rsidR="00CF4E54" w:rsidRPr="00687319" w:rsidRDefault="00CF4E54" w:rsidP="00687319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Duration</w:t>
            </w:r>
          </w:p>
        </w:tc>
      </w:tr>
      <w:tr w:rsidR="0054175B" w:rsidRPr="00687319" w14:paraId="5633A60F" w14:textId="7257CFF3" w:rsidTr="00687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6652D251" w14:textId="6D37EE32" w:rsidR="0054175B" w:rsidRPr="00687319" w:rsidRDefault="0054175B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1</w:t>
            </w:r>
          </w:p>
        </w:tc>
        <w:tc>
          <w:tcPr>
            <w:tcW w:w="6961" w:type="dxa"/>
          </w:tcPr>
          <w:p w14:paraId="160FCB19" w14:textId="6B352019" w:rsidR="0054175B" w:rsidRPr="00687319" w:rsidRDefault="0054175B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Lecture 1: Intr</w:t>
            </w:r>
            <w:r w:rsidR="009F094F" w:rsidRPr="00687319">
              <w:rPr>
                <w:rFonts w:ascii="Open Sans" w:hAnsi="Open Sans" w:cs="Open Sans"/>
              </w:rPr>
              <w:t>oduction to the course</w:t>
            </w:r>
          </w:p>
          <w:p w14:paraId="125B5E0C" w14:textId="2A082499" w:rsidR="0054175B" w:rsidRPr="00687319" w:rsidRDefault="0054175B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 xml:space="preserve">Hands On 1: </w:t>
            </w:r>
            <w:r w:rsidR="0094436C" w:rsidRPr="00687319">
              <w:rPr>
                <w:rFonts w:ascii="Open Sans" w:eastAsia="Open Sans" w:hAnsi="Open Sans" w:cs="Open Sans"/>
              </w:rPr>
              <w:t xml:space="preserve">Exploring the EAE platform </w:t>
            </w:r>
            <w:r w:rsidR="008738AB" w:rsidRPr="00687319">
              <w:rPr>
                <w:rFonts w:ascii="Open Sans" w:eastAsia="Open Sans" w:hAnsi="Open Sans" w:cs="Open Sans"/>
              </w:rPr>
              <w:t>&amp;</w:t>
            </w:r>
            <w:r w:rsidR="0094436C" w:rsidRPr="00687319">
              <w:rPr>
                <w:rFonts w:ascii="Open Sans" w:eastAsia="Open Sans" w:hAnsi="Open Sans" w:cs="Open Sans"/>
              </w:rPr>
              <w:t xml:space="preserve"> creating My EAE user account</w:t>
            </w:r>
          </w:p>
        </w:tc>
        <w:tc>
          <w:tcPr>
            <w:tcW w:w="1200" w:type="dxa"/>
          </w:tcPr>
          <w:p w14:paraId="1FAC7F58" w14:textId="77777777" w:rsidR="0054175B" w:rsidRPr="00687319" w:rsidRDefault="0054175B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1 hr</w:t>
            </w:r>
          </w:p>
          <w:p w14:paraId="2DD184D4" w14:textId="54BB00C0" w:rsidR="0054175B" w:rsidRPr="00687319" w:rsidRDefault="0054175B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1 hr</w:t>
            </w:r>
          </w:p>
        </w:tc>
      </w:tr>
      <w:tr w:rsidR="009F094F" w:rsidRPr="00687319" w14:paraId="0212C3C0" w14:textId="7E80C664" w:rsidTr="00687319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6E88D8BA" w14:textId="17D52A7C" w:rsidR="009F094F" w:rsidRPr="00687319" w:rsidRDefault="009F094F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2</w:t>
            </w:r>
          </w:p>
        </w:tc>
        <w:tc>
          <w:tcPr>
            <w:tcW w:w="6961" w:type="dxa"/>
          </w:tcPr>
          <w:p w14:paraId="5048EC3F" w14:textId="56E44956" w:rsidR="009F094F" w:rsidRPr="00687319" w:rsidRDefault="009F094F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Lecture 2: Introduction to EAE</w:t>
            </w:r>
          </w:p>
          <w:p w14:paraId="12EF5168" w14:textId="15BB4C26" w:rsidR="009F094F" w:rsidRPr="00687319" w:rsidRDefault="009F094F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 xml:space="preserve">Hands On 2: </w:t>
            </w:r>
            <w:r w:rsidR="00F760E9" w:rsidRPr="00687319">
              <w:rPr>
                <w:rFonts w:ascii="Open Sans" w:eastAsia="Open Sans" w:hAnsi="Open Sans" w:cs="Open Sans"/>
              </w:rPr>
              <w:t>Examining</w:t>
            </w:r>
            <w:r w:rsidR="0094436C" w:rsidRPr="00687319">
              <w:rPr>
                <w:rFonts w:ascii="Open Sans" w:eastAsia="Open Sans" w:hAnsi="Open Sans" w:cs="Open Sans"/>
              </w:rPr>
              <w:t xml:space="preserve"> EAE Datasets and Method</w:t>
            </w:r>
          </w:p>
        </w:tc>
        <w:tc>
          <w:tcPr>
            <w:tcW w:w="1200" w:type="dxa"/>
          </w:tcPr>
          <w:p w14:paraId="77808370" w14:textId="77777777" w:rsidR="009F094F" w:rsidRPr="00687319" w:rsidRDefault="009F094F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1 hr</w:t>
            </w:r>
          </w:p>
          <w:p w14:paraId="2D47EC41" w14:textId="5DB87AD7" w:rsidR="009F094F" w:rsidRPr="00687319" w:rsidRDefault="009F094F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1 hr</w:t>
            </w:r>
          </w:p>
        </w:tc>
      </w:tr>
      <w:tr w:rsidR="009F094F" w:rsidRPr="00687319" w14:paraId="57A6B737" w14:textId="77777777" w:rsidTr="00687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4D39D28B" w14:textId="34D9F5E0" w:rsidR="009F094F" w:rsidRPr="00687319" w:rsidRDefault="009F094F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3</w:t>
            </w:r>
          </w:p>
        </w:tc>
        <w:tc>
          <w:tcPr>
            <w:tcW w:w="6961" w:type="dxa"/>
          </w:tcPr>
          <w:p w14:paraId="27F8F914" w14:textId="5D9E1917" w:rsidR="009F094F" w:rsidRPr="00687319" w:rsidRDefault="009F094F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Lecture 3: Key GIS concepts</w:t>
            </w:r>
          </w:p>
          <w:p w14:paraId="3E4F0838" w14:textId="5CC2F00A" w:rsidR="009F094F" w:rsidRPr="00687319" w:rsidRDefault="009F094F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 xml:space="preserve">Hands On 3: </w:t>
            </w:r>
            <w:r w:rsidR="00DD3DA7" w:rsidRPr="00687319">
              <w:rPr>
                <w:rFonts w:ascii="Open Sans" w:hAnsi="Open Sans" w:cs="Open Sans"/>
              </w:rPr>
              <w:t>Working with vector, raster and tabular data</w:t>
            </w:r>
          </w:p>
        </w:tc>
        <w:tc>
          <w:tcPr>
            <w:tcW w:w="1200" w:type="dxa"/>
          </w:tcPr>
          <w:p w14:paraId="146F8F53" w14:textId="77777777" w:rsidR="009F094F" w:rsidRPr="00687319" w:rsidRDefault="009F094F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1 hr</w:t>
            </w:r>
          </w:p>
          <w:p w14:paraId="78FB317E" w14:textId="63E03510" w:rsidR="009F094F" w:rsidRPr="00687319" w:rsidRDefault="00DD3DA7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2</w:t>
            </w:r>
            <w:r w:rsidR="009F094F" w:rsidRPr="00687319">
              <w:rPr>
                <w:rFonts w:ascii="Open Sans" w:hAnsi="Open Sans" w:cs="Open Sans"/>
              </w:rPr>
              <w:t xml:space="preserve"> hr</w:t>
            </w:r>
          </w:p>
        </w:tc>
      </w:tr>
      <w:tr w:rsidR="007C767C" w:rsidRPr="00687319" w14:paraId="3AD60A0C" w14:textId="77777777" w:rsidTr="0068731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4ABE7280" w14:textId="2A73FE82" w:rsidR="007C767C" w:rsidRPr="00687319" w:rsidRDefault="0011507E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4</w:t>
            </w:r>
          </w:p>
        </w:tc>
        <w:tc>
          <w:tcPr>
            <w:tcW w:w="6961" w:type="dxa"/>
          </w:tcPr>
          <w:p w14:paraId="6375F525" w14:textId="7610C0F3" w:rsidR="007C767C" w:rsidRPr="00687319" w:rsidRDefault="00E6576F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 xml:space="preserve">Lecture </w:t>
            </w:r>
            <w:r w:rsidR="009F094F" w:rsidRPr="00687319">
              <w:rPr>
                <w:rFonts w:ascii="Open Sans" w:hAnsi="Open Sans" w:cs="Open Sans"/>
              </w:rPr>
              <w:t>4</w:t>
            </w:r>
            <w:r w:rsidRPr="00687319">
              <w:rPr>
                <w:rFonts w:ascii="Open Sans" w:hAnsi="Open Sans" w:cs="Open Sans"/>
              </w:rPr>
              <w:t xml:space="preserve">: </w:t>
            </w:r>
            <w:r w:rsidR="009F094F" w:rsidRPr="00687319">
              <w:rPr>
                <w:rFonts w:ascii="Open Sans" w:hAnsi="Open Sans" w:cs="Open Sans"/>
              </w:rPr>
              <w:t>EAE front-end</w:t>
            </w:r>
          </w:p>
          <w:p w14:paraId="073B8467" w14:textId="36B32A7D" w:rsidR="00D31DB2" w:rsidRPr="00687319" w:rsidRDefault="00D31DB2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 xml:space="preserve">Hands On </w:t>
            </w:r>
            <w:r w:rsidR="009F094F" w:rsidRPr="00687319">
              <w:rPr>
                <w:rFonts w:ascii="Open Sans" w:hAnsi="Open Sans" w:cs="Open Sans"/>
              </w:rPr>
              <w:t>4</w:t>
            </w:r>
            <w:r w:rsidRPr="00687319">
              <w:rPr>
                <w:rFonts w:ascii="Open Sans" w:hAnsi="Open Sans" w:cs="Open Sans"/>
              </w:rPr>
              <w:t xml:space="preserve">: </w:t>
            </w:r>
            <w:r w:rsidR="00F345A5" w:rsidRPr="00687319">
              <w:rPr>
                <w:rFonts w:ascii="Open Sans" w:eastAsia="Open Sans" w:hAnsi="Open Sans" w:cs="Open Sans"/>
              </w:rPr>
              <w:t>Using</w:t>
            </w:r>
            <w:r w:rsidR="00FF59EF" w:rsidRPr="00687319">
              <w:rPr>
                <w:rFonts w:ascii="Open Sans" w:eastAsia="Open Sans" w:hAnsi="Open Sans" w:cs="Open Sans"/>
              </w:rPr>
              <w:t xml:space="preserve"> the EAE front-end interface</w:t>
            </w:r>
          </w:p>
        </w:tc>
        <w:tc>
          <w:tcPr>
            <w:tcW w:w="1200" w:type="dxa"/>
          </w:tcPr>
          <w:p w14:paraId="56D1702A" w14:textId="77777777" w:rsidR="007C767C" w:rsidRPr="00687319" w:rsidRDefault="00D31DB2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1 hr</w:t>
            </w:r>
          </w:p>
          <w:p w14:paraId="11531194" w14:textId="6B46DA16" w:rsidR="00D31DB2" w:rsidRPr="00687319" w:rsidRDefault="00FF59EF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2</w:t>
            </w:r>
            <w:r w:rsidR="00D31DB2" w:rsidRPr="00687319">
              <w:rPr>
                <w:rFonts w:ascii="Open Sans" w:hAnsi="Open Sans" w:cs="Open Sans"/>
              </w:rPr>
              <w:t xml:space="preserve"> hr</w:t>
            </w:r>
          </w:p>
        </w:tc>
      </w:tr>
      <w:tr w:rsidR="009F094F" w:rsidRPr="00687319" w14:paraId="79E379CA" w14:textId="77777777" w:rsidTr="00687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57B74EBF" w14:textId="3EF792D3" w:rsidR="009F094F" w:rsidRPr="00687319" w:rsidRDefault="009F094F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5</w:t>
            </w:r>
          </w:p>
        </w:tc>
        <w:tc>
          <w:tcPr>
            <w:tcW w:w="6961" w:type="dxa"/>
          </w:tcPr>
          <w:p w14:paraId="0DBB6C07" w14:textId="4F897FC5" w:rsidR="009F094F" w:rsidRPr="00687319" w:rsidRDefault="009F094F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Lecture 5: EAE back-end</w:t>
            </w:r>
          </w:p>
          <w:p w14:paraId="2E54D5D2" w14:textId="54996A4F" w:rsidR="009F094F" w:rsidRPr="00687319" w:rsidRDefault="009F094F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 xml:space="preserve">Hands On 5: </w:t>
            </w:r>
            <w:r w:rsidR="00F345A5" w:rsidRPr="00687319">
              <w:rPr>
                <w:rFonts w:ascii="Open Sans" w:hAnsi="Open Sans" w:cs="Open Sans"/>
              </w:rPr>
              <w:t>Using</w:t>
            </w:r>
            <w:r w:rsidR="00FF59EF" w:rsidRPr="00687319">
              <w:rPr>
                <w:rFonts w:ascii="Open Sans" w:hAnsi="Open Sans" w:cs="Open Sans"/>
              </w:rPr>
              <w:t xml:space="preserve"> the EAE back-end </w:t>
            </w:r>
            <w:r w:rsidR="00F345A5" w:rsidRPr="00687319">
              <w:rPr>
                <w:rFonts w:ascii="Open Sans" w:hAnsi="Open Sans" w:cs="Open Sans"/>
              </w:rPr>
              <w:t>system</w:t>
            </w:r>
          </w:p>
        </w:tc>
        <w:tc>
          <w:tcPr>
            <w:tcW w:w="1200" w:type="dxa"/>
          </w:tcPr>
          <w:p w14:paraId="60D0FBA2" w14:textId="77777777" w:rsidR="009F094F" w:rsidRPr="00687319" w:rsidRDefault="009F094F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1 hr</w:t>
            </w:r>
          </w:p>
          <w:p w14:paraId="079BAA5E" w14:textId="1AF5CDB2" w:rsidR="009F094F" w:rsidRPr="00687319" w:rsidRDefault="00FF59EF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2</w:t>
            </w:r>
            <w:r w:rsidR="009F094F" w:rsidRPr="00687319">
              <w:rPr>
                <w:rFonts w:ascii="Open Sans" w:hAnsi="Open Sans" w:cs="Open Sans"/>
              </w:rPr>
              <w:t xml:space="preserve"> hr</w:t>
            </w:r>
          </w:p>
        </w:tc>
      </w:tr>
      <w:tr w:rsidR="007C767C" w:rsidRPr="00687319" w14:paraId="21EDE832" w14:textId="77777777" w:rsidTr="00687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0CF80C69" w14:textId="0C0A7037" w:rsidR="007C767C" w:rsidRPr="00687319" w:rsidRDefault="0011507E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6</w:t>
            </w:r>
          </w:p>
        </w:tc>
        <w:tc>
          <w:tcPr>
            <w:tcW w:w="6961" w:type="dxa"/>
          </w:tcPr>
          <w:p w14:paraId="61BFEBE5" w14:textId="07285A58" w:rsidR="007C767C" w:rsidRPr="00687319" w:rsidRDefault="002B142C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 xml:space="preserve">Lecture </w:t>
            </w:r>
            <w:r w:rsidR="009F094F" w:rsidRPr="00687319">
              <w:rPr>
                <w:rFonts w:ascii="Open Sans" w:hAnsi="Open Sans" w:cs="Open Sans"/>
              </w:rPr>
              <w:t>6</w:t>
            </w:r>
            <w:r w:rsidRPr="00687319">
              <w:rPr>
                <w:rFonts w:ascii="Open Sans" w:hAnsi="Open Sans" w:cs="Open Sans"/>
              </w:rPr>
              <w:t xml:space="preserve">: </w:t>
            </w:r>
            <w:r w:rsidR="009F094F" w:rsidRPr="00687319">
              <w:rPr>
                <w:rFonts w:ascii="Open Sans" w:hAnsi="Open Sans" w:cs="Open Sans"/>
              </w:rPr>
              <w:t>Data governance and sustainability</w:t>
            </w:r>
          </w:p>
          <w:p w14:paraId="2300BEF6" w14:textId="428D06BC" w:rsidR="002E7F58" w:rsidRPr="00687319" w:rsidRDefault="002E7F58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 xml:space="preserve">Hands On </w:t>
            </w:r>
            <w:r w:rsidR="009F094F" w:rsidRPr="00687319">
              <w:rPr>
                <w:rFonts w:ascii="Open Sans" w:hAnsi="Open Sans" w:cs="Open Sans"/>
              </w:rPr>
              <w:t>6</w:t>
            </w:r>
            <w:r w:rsidRPr="00687319">
              <w:rPr>
                <w:rFonts w:ascii="Open Sans" w:hAnsi="Open Sans" w:cs="Open Sans"/>
              </w:rPr>
              <w:t xml:space="preserve">: </w:t>
            </w:r>
            <w:r w:rsidR="00A00561" w:rsidRPr="00687319">
              <w:rPr>
                <w:rFonts w:ascii="Open Sans" w:hAnsi="Open Sans" w:cs="Open Sans"/>
              </w:rPr>
              <w:t>Developing a project using EAE scenarios</w:t>
            </w:r>
          </w:p>
        </w:tc>
        <w:tc>
          <w:tcPr>
            <w:tcW w:w="1200" w:type="dxa"/>
          </w:tcPr>
          <w:p w14:paraId="60613955" w14:textId="14DFA268" w:rsidR="007C767C" w:rsidRPr="00687319" w:rsidRDefault="00757E73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1 hr</w:t>
            </w:r>
          </w:p>
          <w:p w14:paraId="6EAA9A49" w14:textId="06182D7C" w:rsidR="002E7F58" w:rsidRPr="00687319" w:rsidRDefault="00757E73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1 hr</w:t>
            </w:r>
          </w:p>
        </w:tc>
      </w:tr>
      <w:tr w:rsidR="00094A49" w:rsidRPr="00687319" w14:paraId="13DF4396" w14:textId="77777777" w:rsidTr="00094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F2F2F2" w:themeFill="background1" w:themeFillShade="F2"/>
          </w:tcPr>
          <w:p w14:paraId="0E1D44A6" w14:textId="77777777" w:rsidR="00094A49" w:rsidRPr="00687319" w:rsidRDefault="00094A49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FC1620" w:rsidRPr="00687319" w14:paraId="26D90908" w14:textId="77777777" w:rsidTr="00687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6F0BF6C9" w14:textId="36C62409" w:rsidR="00FC1620" w:rsidRPr="00687319" w:rsidRDefault="009F094F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7</w:t>
            </w:r>
          </w:p>
        </w:tc>
        <w:tc>
          <w:tcPr>
            <w:tcW w:w="6961" w:type="dxa"/>
          </w:tcPr>
          <w:p w14:paraId="39077C2C" w14:textId="31F0C027" w:rsidR="00FC1620" w:rsidRPr="00687319" w:rsidRDefault="00323FCE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Project: Data</w:t>
            </w:r>
            <w:r w:rsidR="001C1484" w:rsidRPr="00687319">
              <w:rPr>
                <w:rFonts w:ascii="Open Sans" w:hAnsi="Open Sans" w:cs="Open Sans"/>
              </w:rPr>
              <w:t xml:space="preserve"> collection, Pre-processing, </w:t>
            </w:r>
            <w:r w:rsidR="009F094F" w:rsidRPr="00687319">
              <w:rPr>
                <w:rFonts w:ascii="Open Sans" w:hAnsi="Open Sans" w:cs="Open Sans"/>
              </w:rPr>
              <w:t>Integration and Configuration in the EAE Content Management System</w:t>
            </w:r>
          </w:p>
        </w:tc>
        <w:tc>
          <w:tcPr>
            <w:tcW w:w="1200" w:type="dxa"/>
          </w:tcPr>
          <w:p w14:paraId="6F338743" w14:textId="6AC5EB9A" w:rsidR="00FC1620" w:rsidRPr="00687319" w:rsidRDefault="00164ECA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3</w:t>
            </w:r>
            <w:r w:rsidR="00185BE5" w:rsidRPr="00687319">
              <w:rPr>
                <w:rFonts w:ascii="Open Sans" w:hAnsi="Open Sans" w:cs="Open Sans"/>
              </w:rPr>
              <w:t>0</w:t>
            </w:r>
            <w:r w:rsidR="00107613" w:rsidRPr="00687319">
              <w:rPr>
                <w:rFonts w:ascii="Open Sans" w:hAnsi="Open Sans" w:cs="Open Sans"/>
              </w:rPr>
              <w:t xml:space="preserve"> hr</w:t>
            </w:r>
          </w:p>
        </w:tc>
      </w:tr>
      <w:tr w:rsidR="00FC1620" w:rsidRPr="00687319" w14:paraId="36720F05" w14:textId="77777777" w:rsidTr="00687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56738187" w14:textId="2D2EDA2B" w:rsidR="00FC1620" w:rsidRPr="00687319" w:rsidRDefault="009F094F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8</w:t>
            </w:r>
          </w:p>
        </w:tc>
        <w:tc>
          <w:tcPr>
            <w:tcW w:w="6961" w:type="dxa"/>
          </w:tcPr>
          <w:p w14:paraId="283CE9DE" w14:textId="062A7727" w:rsidR="00FC1620" w:rsidRPr="00687319" w:rsidRDefault="00107613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Project: Scenario Development</w:t>
            </w:r>
            <w:r w:rsidR="001C1484" w:rsidRPr="00687319">
              <w:rPr>
                <w:rFonts w:ascii="Open Sans" w:hAnsi="Open Sans" w:cs="Open Sans"/>
              </w:rPr>
              <w:t xml:space="preserve">, Criteria Selection </w:t>
            </w:r>
            <w:r w:rsidR="00687319">
              <w:rPr>
                <w:rFonts w:ascii="Open Sans" w:hAnsi="Open Sans" w:cs="Open Sans"/>
              </w:rPr>
              <w:t>&amp;</w:t>
            </w:r>
            <w:r w:rsidR="001C1484" w:rsidRPr="00687319">
              <w:rPr>
                <w:rFonts w:ascii="Open Sans" w:hAnsi="Open Sans" w:cs="Open Sans"/>
              </w:rPr>
              <w:t xml:space="preserve"> Applying filters</w:t>
            </w:r>
          </w:p>
        </w:tc>
        <w:tc>
          <w:tcPr>
            <w:tcW w:w="1200" w:type="dxa"/>
          </w:tcPr>
          <w:p w14:paraId="43E4AA9D" w14:textId="464B94D8" w:rsidR="00FC1620" w:rsidRPr="00687319" w:rsidRDefault="00185BE5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20</w:t>
            </w:r>
            <w:r w:rsidR="00107613" w:rsidRPr="00687319">
              <w:rPr>
                <w:rFonts w:ascii="Open Sans" w:hAnsi="Open Sans" w:cs="Open Sans"/>
              </w:rPr>
              <w:t xml:space="preserve"> hr</w:t>
            </w:r>
          </w:p>
        </w:tc>
      </w:tr>
      <w:tr w:rsidR="00FC1620" w:rsidRPr="00687319" w14:paraId="36B14FF2" w14:textId="77777777" w:rsidTr="00687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238E62D1" w14:textId="38C4B021" w:rsidR="00FC1620" w:rsidRPr="00687319" w:rsidRDefault="009F094F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9</w:t>
            </w:r>
          </w:p>
        </w:tc>
        <w:tc>
          <w:tcPr>
            <w:tcW w:w="6961" w:type="dxa"/>
          </w:tcPr>
          <w:p w14:paraId="2871BAAD" w14:textId="7A4B1040" w:rsidR="00FC1620" w:rsidRPr="00687319" w:rsidRDefault="00107613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Project: Results Analysis, Report and Presentation</w:t>
            </w:r>
          </w:p>
        </w:tc>
        <w:tc>
          <w:tcPr>
            <w:tcW w:w="1200" w:type="dxa"/>
          </w:tcPr>
          <w:p w14:paraId="2E135504" w14:textId="7C415947" w:rsidR="00FC1620" w:rsidRPr="00687319" w:rsidRDefault="000A3BBF" w:rsidP="0068731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30</w:t>
            </w:r>
            <w:r w:rsidR="00107613" w:rsidRPr="00687319">
              <w:rPr>
                <w:rFonts w:ascii="Open Sans" w:hAnsi="Open Sans" w:cs="Open Sans"/>
              </w:rPr>
              <w:t xml:space="preserve"> hr</w:t>
            </w:r>
          </w:p>
        </w:tc>
      </w:tr>
      <w:tr w:rsidR="00B66E4C" w:rsidRPr="00687319" w14:paraId="29F3813F" w14:textId="77777777" w:rsidTr="00687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71F3F5DF" w14:textId="2E76B66E" w:rsidR="00B66E4C" w:rsidRPr="00687319" w:rsidRDefault="00B66E4C" w:rsidP="00687319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1</w:t>
            </w:r>
            <w:r w:rsidR="009F094F" w:rsidRPr="00687319">
              <w:rPr>
                <w:rFonts w:ascii="Open Sans" w:hAnsi="Open Sans" w:cs="Open Sans"/>
              </w:rPr>
              <w:t>0</w:t>
            </w:r>
          </w:p>
        </w:tc>
        <w:tc>
          <w:tcPr>
            <w:tcW w:w="6961" w:type="dxa"/>
          </w:tcPr>
          <w:p w14:paraId="372C701C" w14:textId="48400D8B" w:rsidR="00B66E4C" w:rsidRPr="00687319" w:rsidRDefault="00B66E4C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87319">
              <w:rPr>
                <w:rFonts w:ascii="Open Sans" w:hAnsi="Open Sans" w:cs="Open Sans"/>
              </w:rPr>
              <w:t>Submission of report</w:t>
            </w:r>
            <w:r w:rsidR="00227016" w:rsidRPr="00687319">
              <w:rPr>
                <w:rFonts w:ascii="Open Sans" w:hAnsi="Open Sans" w:cs="Open Sans"/>
              </w:rPr>
              <w:t xml:space="preserve"> and presentation</w:t>
            </w:r>
          </w:p>
        </w:tc>
        <w:tc>
          <w:tcPr>
            <w:tcW w:w="1200" w:type="dxa"/>
          </w:tcPr>
          <w:p w14:paraId="3ED5C501" w14:textId="77777777" w:rsidR="00B66E4C" w:rsidRPr="00687319" w:rsidRDefault="00B66E4C" w:rsidP="0068731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3845425C" w14:textId="26FC1AF6" w:rsidR="00D8041C" w:rsidRPr="00687319" w:rsidRDefault="00D8041C" w:rsidP="00D8041C">
      <w:pPr>
        <w:jc w:val="both"/>
        <w:rPr>
          <w:rFonts w:ascii="Open Sans" w:hAnsi="Open Sans" w:cs="Open Sans"/>
        </w:rPr>
      </w:pPr>
    </w:p>
    <w:sectPr w:rsidR="00D8041C" w:rsidRPr="006873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E49B" w14:textId="77777777" w:rsidR="00A12D75" w:rsidRDefault="00A12D75" w:rsidP="007C767C">
      <w:pPr>
        <w:spacing w:after="0" w:line="240" w:lineRule="auto"/>
      </w:pPr>
      <w:r>
        <w:separator/>
      </w:r>
    </w:p>
  </w:endnote>
  <w:endnote w:type="continuationSeparator" w:id="0">
    <w:p w14:paraId="2159056B" w14:textId="77777777" w:rsidR="00A12D75" w:rsidRDefault="00A12D75" w:rsidP="007C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E1E2" w14:textId="77777777" w:rsidR="00A12D75" w:rsidRDefault="00A12D75" w:rsidP="007C767C">
      <w:pPr>
        <w:spacing w:after="0" w:line="240" w:lineRule="auto"/>
      </w:pPr>
      <w:r>
        <w:separator/>
      </w:r>
    </w:p>
  </w:footnote>
  <w:footnote w:type="continuationSeparator" w:id="0">
    <w:p w14:paraId="580FD823" w14:textId="77777777" w:rsidR="00A12D75" w:rsidRDefault="00A12D75" w:rsidP="007C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6590" w14:textId="47304475" w:rsidR="007C767C" w:rsidRDefault="0095703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42C531" wp14:editId="72F8C874">
          <wp:simplePos x="0" y="0"/>
          <wp:positionH relativeFrom="column">
            <wp:posOffset>3060700</wp:posOffset>
          </wp:positionH>
          <wp:positionV relativeFrom="paragraph">
            <wp:posOffset>-201930</wp:posOffset>
          </wp:positionV>
          <wp:extent cx="977265" cy="553085"/>
          <wp:effectExtent l="0" t="0" r="0" b="0"/>
          <wp:wrapNone/>
          <wp:docPr id="1412390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39065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553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B13FB">
      <w:rPr>
        <w:noProof/>
      </w:rPr>
      <w:drawing>
        <wp:anchor distT="114300" distB="114300" distL="114300" distR="114300" simplePos="0" relativeHeight="251660288" behindDoc="1" locked="0" layoutInCell="1" hidden="0" allowOverlap="1" wp14:anchorId="501BC97A" wp14:editId="1E664C37">
          <wp:simplePos x="0" y="0"/>
          <wp:positionH relativeFrom="column">
            <wp:posOffset>5429250</wp:posOffset>
          </wp:positionH>
          <wp:positionV relativeFrom="paragraph">
            <wp:posOffset>-344805</wp:posOffset>
          </wp:positionV>
          <wp:extent cx="809625" cy="8096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3E7C">
      <w:rPr>
        <w:noProof/>
      </w:rPr>
      <w:drawing>
        <wp:anchor distT="57150" distB="57150" distL="57150" distR="57150" simplePos="0" relativeHeight="251659264" behindDoc="1" locked="0" layoutInCell="1" hidden="0" allowOverlap="1" wp14:anchorId="651DFC3F" wp14:editId="7D0F6B09">
          <wp:simplePos x="0" y="0"/>
          <wp:positionH relativeFrom="column">
            <wp:posOffset>-679450</wp:posOffset>
          </wp:positionH>
          <wp:positionV relativeFrom="paragraph">
            <wp:posOffset>-151129</wp:posOffset>
          </wp:positionV>
          <wp:extent cx="2806700" cy="4635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1C"/>
    <w:rsid w:val="00046186"/>
    <w:rsid w:val="00094A49"/>
    <w:rsid w:val="000A135E"/>
    <w:rsid w:val="000A3BBF"/>
    <w:rsid w:val="000A66BA"/>
    <w:rsid w:val="00107613"/>
    <w:rsid w:val="0011507E"/>
    <w:rsid w:val="00164ECA"/>
    <w:rsid w:val="00181919"/>
    <w:rsid w:val="00185BE5"/>
    <w:rsid w:val="001A2A22"/>
    <w:rsid w:val="001C1484"/>
    <w:rsid w:val="001D0430"/>
    <w:rsid w:val="001D731D"/>
    <w:rsid w:val="001F1FE0"/>
    <w:rsid w:val="00227016"/>
    <w:rsid w:val="002372E2"/>
    <w:rsid w:val="0025268A"/>
    <w:rsid w:val="002B142C"/>
    <w:rsid w:val="002D0E8F"/>
    <w:rsid w:val="002E0AA8"/>
    <w:rsid w:val="002E7F58"/>
    <w:rsid w:val="00323FCE"/>
    <w:rsid w:val="00392E84"/>
    <w:rsid w:val="003B499F"/>
    <w:rsid w:val="003C6A27"/>
    <w:rsid w:val="003E652E"/>
    <w:rsid w:val="00426A5C"/>
    <w:rsid w:val="00432E66"/>
    <w:rsid w:val="0043610E"/>
    <w:rsid w:val="004B6E49"/>
    <w:rsid w:val="004E7988"/>
    <w:rsid w:val="004E7DF5"/>
    <w:rsid w:val="0054175B"/>
    <w:rsid w:val="005C061B"/>
    <w:rsid w:val="005F5E97"/>
    <w:rsid w:val="00687319"/>
    <w:rsid w:val="006D7A07"/>
    <w:rsid w:val="007179C6"/>
    <w:rsid w:val="00720E3A"/>
    <w:rsid w:val="00757E73"/>
    <w:rsid w:val="00795225"/>
    <w:rsid w:val="007963C8"/>
    <w:rsid w:val="007A7B1A"/>
    <w:rsid w:val="007C7433"/>
    <w:rsid w:val="007C767C"/>
    <w:rsid w:val="007C7D2A"/>
    <w:rsid w:val="00833004"/>
    <w:rsid w:val="008469CC"/>
    <w:rsid w:val="008738AB"/>
    <w:rsid w:val="008D4EA0"/>
    <w:rsid w:val="008D6E47"/>
    <w:rsid w:val="008F3191"/>
    <w:rsid w:val="009128F7"/>
    <w:rsid w:val="00934684"/>
    <w:rsid w:val="0094436C"/>
    <w:rsid w:val="00952E78"/>
    <w:rsid w:val="00957035"/>
    <w:rsid w:val="009F094F"/>
    <w:rsid w:val="00A00561"/>
    <w:rsid w:val="00A12D75"/>
    <w:rsid w:val="00A17533"/>
    <w:rsid w:val="00A83AE5"/>
    <w:rsid w:val="00B66E4C"/>
    <w:rsid w:val="00B7690A"/>
    <w:rsid w:val="00BA29A7"/>
    <w:rsid w:val="00BB13FB"/>
    <w:rsid w:val="00BC7832"/>
    <w:rsid w:val="00C03585"/>
    <w:rsid w:val="00C04920"/>
    <w:rsid w:val="00C237D5"/>
    <w:rsid w:val="00C96EEB"/>
    <w:rsid w:val="00CD3E7C"/>
    <w:rsid w:val="00CF4E54"/>
    <w:rsid w:val="00D3175E"/>
    <w:rsid w:val="00D31DB2"/>
    <w:rsid w:val="00D46CEF"/>
    <w:rsid w:val="00D8041C"/>
    <w:rsid w:val="00DB0F89"/>
    <w:rsid w:val="00DD3DA7"/>
    <w:rsid w:val="00E61D6D"/>
    <w:rsid w:val="00E633D0"/>
    <w:rsid w:val="00E6576F"/>
    <w:rsid w:val="00EA06E1"/>
    <w:rsid w:val="00EC67F1"/>
    <w:rsid w:val="00EE4E96"/>
    <w:rsid w:val="00EE620C"/>
    <w:rsid w:val="00EE77DA"/>
    <w:rsid w:val="00F03081"/>
    <w:rsid w:val="00F345A5"/>
    <w:rsid w:val="00F35882"/>
    <w:rsid w:val="00F760E9"/>
    <w:rsid w:val="00FA61D3"/>
    <w:rsid w:val="00FC1569"/>
    <w:rsid w:val="00FC1620"/>
    <w:rsid w:val="00FE2A8C"/>
    <w:rsid w:val="00FF59EF"/>
    <w:rsid w:val="0A193F40"/>
    <w:rsid w:val="262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DEF61"/>
  <w15:chartTrackingRefBased/>
  <w15:docId w15:val="{D8A36D00-BD15-47DD-A2C7-D4E2F51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4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804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C7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7C"/>
  </w:style>
  <w:style w:type="paragraph" w:styleId="Footer">
    <w:name w:val="footer"/>
    <w:basedOn w:val="Normal"/>
    <w:link w:val="FooterChar"/>
    <w:uiPriority w:val="99"/>
    <w:unhideWhenUsed/>
    <w:rsid w:val="007C7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7C"/>
  </w:style>
  <w:style w:type="character" w:styleId="Hyperlink">
    <w:name w:val="Hyperlink"/>
    <w:basedOn w:val="DefaultParagraphFont"/>
    <w:uiPriority w:val="99"/>
    <w:unhideWhenUsed/>
    <w:rsid w:val="00392E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1562</Characters>
  <Application>Microsoft Office Word</Application>
  <DocSecurity>0</DocSecurity>
  <Lines>62</Lines>
  <Paragraphs>49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Fynn Kiley</dc:creator>
  <cp:keywords/>
  <dc:description/>
  <cp:lastModifiedBy>Alemayehu Woldeamanuel</cp:lastModifiedBy>
  <cp:revision>54</cp:revision>
  <dcterms:created xsi:type="dcterms:W3CDTF">2025-06-04T10:59:00Z</dcterms:created>
  <dcterms:modified xsi:type="dcterms:W3CDTF">2026-01-16T07:27:00Z</dcterms:modified>
</cp:coreProperties>
</file>