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ABBFA" w14:textId="2D605E7E" w:rsidR="00833004" w:rsidRDefault="00D8041C" w:rsidP="00D8041C">
      <w:pPr>
        <w:pStyle w:val="Title"/>
      </w:pPr>
      <w:r>
        <w:t>Example Course Timetable</w:t>
      </w:r>
    </w:p>
    <w:p w14:paraId="629D9780" w14:textId="6C9036DC" w:rsidR="00392E84" w:rsidRPr="005D7671" w:rsidRDefault="00392E84" w:rsidP="00392E84">
      <w:pPr>
        <w:rPr>
          <w:b/>
          <w:bCs/>
        </w:rPr>
      </w:pPr>
      <w:r w:rsidRPr="005D7671">
        <w:rPr>
          <w:b/>
          <w:bCs/>
        </w:rPr>
        <w:t>Licen</w:t>
      </w:r>
      <w:r w:rsidR="00720E3A">
        <w:rPr>
          <w:b/>
          <w:bCs/>
        </w:rPr>
        <w:t>s</w:t>
      </w:r>
      <w:r w:rsidRPr="005D7671">
        <w:rPr>
          <w:b/>
          <w:bCs/>
        </w:rPr>
        <w:t>e:</w:t>
      </w:r>
    </w:p>
    <w:p w14:paraId="52C9E968" w14:textId="77777777" w:rsidR="00392E84" w:rsidRDefault="00392E84" w:rsidP="00392E84">
      <w:r>
        <w:t xml:space="preserve">This work is licensed under the Creative Commons Attribution 4.0 International License (CC BY 4.0). To view a copy of this license, visit </w:t>
      </w:r>
      <w:hyperlink r:id="rId9" w:history="1">
        <w:r w:rsidRPr="007045C3">
          <w:rPr>
            <w:rStyle w:val="Hyperlink"/>
          </w:rPr>
          <w:t>https://creativecommons.org/licenses/by/4.0/</w:t>
        </w:r>
      </w:hyperlink>
      <w:r>
        <w:t>.</w:t>
      </w:r>
    </w:p>
    <w:p w14:paraId="270C27CE" w14:textId="77777777" w:rsidR="00392E84" w:rsidRPr="005D7671" w:rsidRDefault="00392E84" w:rsidP="00392E84">
      <w:pPr>
        <w:rPr>
          <w:b/>
          <w:bCs/>
        </w:rPr>
      </w:pPr>
      <w:r w:rsidRPr="005D7671">
        <w:rPr>
          <w:b/>
          <w:bCs/>
        </w:rPr>
        <w:t>Attribution:</w:t>
      </w:r>
    </w:p>
    <w:p w14:paraId="077491FC" w14:textId="20B74E79" w:rsidR="00E1119E" w:rsidRDefault="00E1119E" w:rsidP="00D8041C">
      <w:pPr>
        <w:jc w:val="both"/>
      </w:pPr>
      <w:r w:rsidRPr="00E1119E">
        <w:t>Please cite as: Russell, T., Colombo, S</w:t>
      </w:r>
      <w:r>
        <w:t>.</w:t>
      </w:r>
      <w:r w:rsidR="115622AC">
        <w:t>, Paszkowski, A., Adshead, D., Vital, S., Roman, O., Fuldauer, L., Hall, J. W., Pant, R., Gall, S., Becher, O., Majid, A., Verschuur, J., Haggis, R., Mo, Y., &amp; Chow, N.</w:t>
      </w:r>
      <w:r w:rsidRPr="00E1119E">
        <w:t xml:space="preserve"> (2025) An Introduction to Infrastructure and Climate Resilience with NISMOD. Version 1. Climate Compatible Growth Teaching Kit Website, Climate Compatible Growth.</w:t>
      </w:r>
    </w:p>
    <w:p w14:paraId="12D65D36" w14:textId="6C7DA3F9" w:rsidR="00D8041C" w:rsidRDefault="00D8041C" w:rsidP="00D8041C">
      <w:pPr>
        <w:jc w:val="both"/>
      </w:pPr>
      <w:r>
        <w:t xml:space="preserve">The following provides an example timetable for </w:t>
      </w:r>
      <w:r w:rsidR="00BF01B4">
        <w:t xml:space="preserve">blocks 1 to </w:t>
      </w:r>
      <w:r w:rsidR="003D424D">
        <w:t>7</w:t>
      </w:r>
      <w:r w:rsidR="003E57BC">
        <w:t>, plus the project block,</w:t>
      </w:r>
      <w:r>
        <w:t xml:space="preserve"> that make up the course ‘</w:t>
      </w:r>
      <w:r w:rsidR="005C58F4" w:rsidRPr="005C58F4">
        <w:t>An Introduction to Infrastructure and Climate Resilience with NISMOD</w:t>
      </w:r>
      <w:r>
        <w:t>’. It is designed to be flexible so provides only an indication of how the course can be structured. Instructors are encouraged to modify it to fit the intended outcomes of their course.</w:t>
      </w:r>
      <w:r w:rsidR="00CF4E54">
        <w:t xml:space="preserve"> Time allowances are indicative and will vary according to student experience.</w:t>
      </w:r>
    </w:p>
    <w:tbl>
      <w:tblPr>
        <w:tblStyle w:val="PlainTable2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00"/>
        <w:gridCol w:w="5518"/>
        <w:gridCol w:w="1908"/>
      </w:tblGrid>
      <w:tr w:rsidR="00CF4E54" w14:paraId="7A31DF5C" w14:textId="7DEB1C38" w:rsidTr="00C40A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01673830" w14:textId="54BB8BF8" w:rsidR="00CF4E54" w:rsidRDefault="004C4D7D" w:rsidP="00C40A0C">
            <w:pPr>
              <w:jc w:val="both"/>
            </w:pPr>
            <w:r>
              <w:t>Block</w:t>
            </w:r>
          </w:p>
        </w:tc>
        <w:tc>
          <w:tcPr>
            <w:tcW w:w="5518" w:type="dxa"/>
          </w:tcPr>
          <w:p w14:paraId="6FE3333F" w14:textId="7923CB37" w:rsidR="00CF4E54" w:rsidRDefault="00CF4E54" w:rsidP="00C40A0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908" w:type="dxa"/>
          </w:tcPr>
          <w:p w14:paraId="3FA68562" w14:textId="5F880F2B" w:rsidR="00CF4E54" w:rsidRDefault="00CF4E54" w:rsidP="00C40A0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Duration</w:t>
            </w:r>
          </w:p>
        </w:tc>
      </w:tr>
      <w:tr w:rsidR="002B142C" w14:paraId="52AECD85" w14:textId="77777777" w:rsidTr="00C40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3"/>
          </w:tcPr>
          <w:p w14:paraId="1D39EFBC" w14:textId="7DAD34BF" w:rsidR="002B142C" w:rsidRDefault="002B142C" w:rsidP="00C40A0C">
            <w:pPr>
              <w:jc w:val="center"/>
            </w:pPr>
          </w:p>
        </w:tc>
      </w:tr>
      <w:tr w:rsidR="00191CA8" w14:paraId="5633A60F" w14:textId="7257CFF3" w:rsidTr="00C40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 w:val="restart"/>
          </w:tcPr>
          <w:p w14:paraId="6EE85F7E" w14:textId="77777777" w:rsidR="00191CA8" w:rsidRPr="0076502D" w:rsidRDefault="00191CA8" w:rsidP="00C40A0C">
            <w:pPr>
              <w:jc w:val="both"/>
            </w:pPr>
            <w:r>
              <w:t xml:space="preserve">1 - </w:t>
            </w:r>
            <w:r w:rsidRPr="0076502D">
              <w:t>Introduction to climate hazard impacts on infrastructure systems</w:t>
            </w:r>
          </w:p>
          <w:p w14:paraId="6652D251" w14:textId="63A45577" w:rsidR="00191CA8" w:rsidRDefault="00191CA8" w:rsidP="00C40A0C">
            <w:pPr>
              <w:jc w:val="both"/>
            </w:pPr>
          </w:p>
        </w:tc>
        <w:tc>
          <w:tcPr>
            <w:tcW w:w="5518" w:type="dxa"/>
          </w:tcPr>
          <w:p w14:paraId="125B5E0C" w14:textId="70BC1539" w:rsidR="00191CA8" w:rsidRDefault="00191CA8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1.1 </w:t>
            </w:r>
            <w:r w:rsidRPr="00BA365E">
              <w:t>Introduction to infrastructure risk and resilience</w:t>
            </w:r>
          </w:p>
        </w:tc>
        <w:tc>
          <w:tcPr>
            <w:tcW w:w="1908" w:type="dxa"/>
            <w:vMerge w:val="restart"/>
          </w:tcPr>
          <w:p w14:paraId="2DD184D4" w14:textId="7E9973B8" w:rsidR="00191CA8" w:rsidRDefault="00223408" w:rsidP="006F3A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F927BD">
              <w:t>.5</w:t>
            </w:r>
            <w:r w:rsidR="00B6035F">
              <w:t xml:space="preserve"> h</w:t>
            </w:r>
          </w:p>
        </w:tc>
      </w:tr>
      <w:tr w:rsidR="00191CA8" w14:paraId="20059964" w14:textId="59E1940D" w:rsidTr="00C40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/>
          </w:tcPr>
          <w:p w14:paraId="16767407" w14:textId="77777777" w:rsidR="00191CA8" w:rsidRDefault="00191CA8" w:rsidP="00C40A0C">
            <w:pPr>
              <w:jc w:val="both"/>
            </w:pPr>
          </w:p>
        </w:tc>
        <w:tc>
          <w:tcPr>
            <w:tcW w:w="5518" w:type="dxa"/>
          </w:tcPr>
          <w:p w14:paraId="594DFD91" w14:textId="25936F40" w:rsidR="00191CA8" w:rsidRDefault="00191CA8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1.2 </w:t>
            </w:r>
            <w:r w:rsidRPr="00C169B9">
              <w:t>Key concepts and definitions</w:t>
            </w:r>
          </w:p>
        </w:tc>
        <w:tc>
          <w:tcPr>
            <w:tcW w:w="1908" w:type="dxa"/>
            <w:vMerge/>
          </w:tcPr>
          <w:p w14:paraId="3DF9AB29" w14:textId="244E63DF" w:rsidR="00191CA8" w:rsidRDefault="00191CA8" w:rsidP="006F3A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1CA8" w14:paraId="2F085A9C" w14:textId="2E282813" w:rsidTr="00C40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/>
          </w:tcPr>
          <w:p w14:paraId="11DA5285" w14:textId="37B90546" w:rsidR="00191CA8" w:rsidRDefault="00191CA8" w:rsidP="00C40A0C">
            <w:pPr>
              <w:jc w:val="both"/>
            </w:pPr>
          </w:p>
        </w:tc>
        <w:tc>
          <w:tcPr>
            <w:tcW w:w="5518" w:type="dxa"/>
          </w:tcPr>
          <w:p w14:paraId="7F9C6CD6" w14:textId="4B18F473" w:rsidR="00191CA8" w:rsidRDefault="00191CA8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1.3 </w:t>
            </w:r>
            <w:r w:rsidRPr="00C169B9">
              <w:t>Characterising hazards and risk calculations for infrastructure networks</w:t>
            </w:r>
          </w:p>
        </w:tc>
        <w:tc>
          <w:tcPr>
            <w:tcW w:w="1908" w:type="dxa"/>
            <w:vMerge/>
          </w:tcPr>
          <w:p w14:paraId="5596351F" w14:textId="03E3470A" w:rsidR="00191CA8" w:rsidRDefault="00191CA8" w:rsidP="006F3A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1CA8" w14:paraId="5B46799A" w14:textId="77777777" w:rsidTr="00C40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/>
          </w:tcPr>
          <w:p w14:paraId="7F25EC63" w14:textId="77777777" w:rsidR="00191CA8" w:rsidRDefault="00191CA8" w:rsidP="00C40A0C">
            <w:pPr>
              <w:jc w:val="both"/>
            </w:pPr>
          </w:p>
        </w:tc>
        <w:tc>
          <w:tcPr>
            <w:tcW w:w="5518" w:type="dxa"/>
          </w:tcPr>
          <w:p w14:paraId="6CEA923D" w14:textId="37844D00" w:rsidR="00191CA8" w:rsidRDefault="00191CA8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1.4 </w:t>
            </w:r>
            <w:r w:rsidRPr="00C169B9">
              <w:t>Hazard exposure and vulnerability analysis in practice for high-level decision-making</w:t>
            </w:r>
          </w:p>
        </w:tc>
        <w:tc>
          <w:tcPr>
            <w:tcW w:w="1908" w:type="dxa"/>
            <w:vMerge/>
          </w:tcPr>
          <w:p w14:paraId="7DF92D29" w14:textId="647304AF" w:rsidR="00191CA8" w:rsidRDefault="00191CA8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0CF0" w14:paraId="50E1E6BF" w14:textId="77777777" w:rsidTr="00C40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7B2CC654" w14:textId="1E22689F" w:rsidR="00250CF0" w:rsidRDefault="00250CF0" w:rsidP="00C40A0C">
            <w:pPr>
              <w:jc w:val="both"/>
            </w:pPr>
            <w:r>
              <w:t>Quiz</w:t>
            </w:r>
            <w:r w:rsidR="00011720">
              <w:t>/Test</w:t>
            </w:r>
          </w:p>
        </w:tc>
        <w:tc>
          <w:tcPr>
            <w:tcW w:w="5518" w:type="dxa"/>
          </w:tcPr>
          <w:p w14:paraId="7FC16DC9" w14:textId="77777777" w:rsidR="00250CF0" w:rsidRDefault="00250CF0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8" w:type="dxa"/>
          </w:tcPr>
          <w:p w14:paraId="3A9DC02A" w14:textId="77777777" w:rsidR="00250CF0" w:rsidRDefault="00250CF0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3408" w14:paraId="0212C3C0" w14:textId="7E80C664" w:rsidTr="00C40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 w:val="restart"/>
          </w:tcPr>
          <w:p w14:paraId="71FA4812" w14:textId="77777777" w:rsidR="00223408" w:rsidRPr="00250CF0" w:rsidRDefault="00223408" w:rsidP="00C40A0C">
            <w:pPr>
              <w:jc w:val="both"/>
            </w:pPr>
            <w:r>
              <w:t xml:space="preserve">2 - </w:t>
            </w:r>
            <w:r w:rsidRPr="00250CF0">
              <w:t>Modelling infrastructure assets</w:t>
            </w:r>
          </w:p>
          <w:p w14:paraId="6E88D8BA" w14:textId="29ABC144" w:rsidR="00223408" w:rsidRDefault="00223408" w:rsidP="00C40A0C">
            <w:pPr>
              <w:jc w:val="both"/>
            </w:pPr>
          </w:p>
        </w:tc>
        <w:tc>
          <w:tcPr>
            <w:tcW w:w="5518" w:type="dxa"/>
          </w:tcPr>
          <w:p w14:paraId="12EF5168" w14:textId="0C037224" w:rsidR="00223408" w:rsidRDefault="00223408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2.1 </w:t>
            </w:r>
            <w:r w:rsidRPr="002B4EC5">
              <w:t>Introduction to infrastructure services and infrastructure modelling</w:t>
            </w:r>
          </w:p>
        </w:tc>
        <w:tc>
          <w:tcPr>
            <w:tcW w:w="1908" w:type="dxa"/>
            <w:vMerge w:val="restart"/>
          </w:tcPr>
          <w:p w14:paraId="2D47EC41" w14:textId="7732460F" w:rsidR="00223408" w:rsidRDefault="00F927BD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223408">
              <w:t xml:space="preserve"> h</w:t>
            </w:r>
          </w:p>
        </w:tc>
      </w:tr>
      <w:tr w:rsidR="00223408" w14:paraId="20FCD664" w14:textId="3B3F5241" w:rsidTr="00C40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/>
          </w:tcPr>
          <w:p w14:paraId="24EC3C5F" w14:textId="67CB9DDA" w:rsidR="00223408" w:rsidRDefault="00223408" w:rsidP="00C40A0C">
            <w:pPr>
              <w:jc w:val="both"/>
            </w:pPr>
          </w:p>
        </w:tc>
        <w:tc>
          <w:tcPr>
            <w:tcW w:w="5518" w:type="dxa"/>
          </w:tcPr>
          <w:p w14:paraId="15D4D505" w14:textId="08F60A33" w:rsidR="00223408" w:rsidRDefault="00223408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2.2 </w:t>
            </w:r>
            <w:r w:rsidRPr="00C40887">
              <w:t>Modelling of transport network flows and service disruptions</w:t>
            </w:r>
          </w:p>
        </w:tc>
        <w:tc>
          <w:tcPr>
            <w:tcW w:w="1908" w:type="dxa"/>
            <w:vMerge/>
          </w:tcPr>
          <w:p w14:paraId="07435CE3" w14:textId="0F42BAF0" w:rsidR="00223408" w:rsidRDefault="00223408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3408" w14:paraId="3D6CBB9C" w14:textId="77777777" w:rsidTr="00C40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/>
          </w:tcPr>
          <w:p w14:paraId="68789997" w14:textId="77777777" w:rsidR="00223408" w:rsidRDefault="00223408" w:rsidP="00C40A0C">
            <w:pPr>
              <w:jc w:val="both"/>
            </w:pPr>
          </w:p>
        </w:tc>
        <w:tc>
          <w:tcPr>
            <w:tcW w:w="5518" w:type="dxa"/>
          </w:tcPr>
          <w:p w14:paraId="75A92186" w14:textId="36BD6380" w:rsidR="00223408" w:rsidRDefault="00223408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2.3 </w:t>
            </w:r>
            <w:r w:rsidRPr="00C40887">
              <w:t>Modelling of water infrastructure networks and service delivery</w:t>
            </w:r>
          </w:p>
        </w:tc>
        <w:tc>
          <w:tcPr>
            <w:tcW w:w="1908" w:type="dxa"/>
            <w:vMerge/>
          </w:tcPr>
          <w:p w14:paraId="7478128E" w14:textId="0E0A3327" w:rsidR="00223408" w:rsidRDefault="00223408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3408" w14:paraId="498E24F6" w14:textId="77777777" w:rsidTr="00C40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/>
          </w:tcPr>
          <w:p w14:paraId="601B8CA6" w14:textId="77777777" w:rsidR="00223408" w:rsidRDefault="00223408" w:rsidP="00C40A0C">
            <w:pPr>
              <w:jc w:val="both"/>
            </w:pPr>
          </w:p>
        </w:tc>
        <w:tc>
          <w:tcPr>
            <w:tcW w:w="5518" w:type="dxa"/>
          </w:tcPr>
          <w:p w14:paraId="1BEFA116" w14:textId="46F1CB22" w:rsidR="00223408" w:rsidRDefault="00223408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2.4 </w:t>
            </w:r>
            <w:r w:rsidRPr="004071D2">
              <w:t>Modelling energy networks and simulating service delivery</w:t>
            </w:r>
          </w:p>
        </w:tc>
        <w:tc>
          <w:tcPr>
            <w:tcW w:w="1908" w:type="dxa"/>
            <w:vMerge/>
          </w:tcPr>
          <w:p w14:paraId="5303883B" w14:textId="385907DB" w:rsidR="00223408" w:rsidRDefault="00223408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79DA" w14:paraId="4C8C9D6B" w14:textId="77777777" w:rsidTr="00C40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1155646C" w14:textId="333813B0" w:rsidR="009979DA" w:rsidRDefault="009979DA" w:rsidP="00C40A0C">
            <w:pPr>
              <w:jc w:val="both"/>
            </w:pPr>
            <w:r>
              <w:t>Quiz</w:t>
            </w:r>
            <w:r w:rsidR="003D6905">
              <w:t>/Test</w:t>
            </w:r>
          </w:p>
        </w:tc>
        <w:tc>
          <w:tcPr>
            <w:tcW w:w="5518" w:type="dxa"/>
          </w:tcPr>
          <w:p w14:paraId="13FA3F2E" w14:textId="77777777" w:rsidR="009979DA" w:rsidRDefault="009979DA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8" w:type="dxa"/>
          </w:tcPr>
          <w:p w14:paraId="0256872E" w14:textId="77777777" w:rsidR="009979DA" w:rsidRDefault="009979DA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3408" w14:paraId="57A6B737" w14:textId="77777777" w:rsidTr="00C40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 w:val="restart"/>
          </w:tcPr>
          <w:p w14:paraId="145A76F1" w14:textId="77777777" w:rsidR="00223408" w:rsidRPr="00116B3C" w:rsidRDefault="00223408" w:rsidP="00C40A0C">
            <w:pPr>
              <w:jc w:val="both"/>
            </w:pPr>
            <w:r>
              <w:t xml:space="preserve">3 - </w:t>
            </w:r>
            <w:r w:rsidRPr="00116B3C">
              <w:t>Assessing infrastructure asset risk and vulnerability</w:t>
            </w:r>
          </w:p>
          <w:p w14:paraId="4D39D28B" w14:textId="6D91A4E9" w:rsidR="00223408" w:rsidRDefault="00223408" w:rsidP="00C40A0C">
            <w:pPr>
              <w:jc w:val="both"/>
            </w:pPr>
          </w:p>
        </w:tc>
        <w:tc>
          <w:tcPr>
            <w:tcW w:w="5518" w:type="dxa"/>
          </w:tcPr>
          <w:p w14:paraId="3E4F0838" w14:textId="6EF6474E" w:rsidR="00223408" w:rsidRDefault="00223408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3.1 </w:t>
            </w:r>
            <w:r w:rsidRPr="00CB267A">
              <w:t>Assessing infrastructure asset vulnerability</w:t>
            </w:r>
          </w:p>
        </w:tc>
        <w:tc>
          <w:tcPr>
            <w:tcW w:w="1908" w:type="dxa"/>
            <w:vMerge w:val="restart"/>
          </w:tcPr>
          <w:p w14:paraId="78FB317E" w14:textId="13ECFF92" w:rsidR="00223408" w:rsidRDefault="0013491D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F734A7">
              <w:t>.5</w:t>
            </w:r>
            <w:r w:rsidR="00223408">
              <w:t xml:space="preserve"> h</w:t>
            </w:r>
          </w:p>
        </w:tc>
      </w:tr>
      <w:tr w:rsidR="00223408" w14:paraId="5D76A6CC" w14:textId="77777777" w:rsidTr="00C40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/>
          </w:tcPr>
          <w:p w14:paraId="0C61C4A8" w14:textId="304035BA" w:rsidR="00223408" w:rsidRDefault="00223408" w:rsidP="00C40A0C">
            <w:pPr>
              <w:jc w:val="both"/>
            </w:pPr>
          </w:p>
        </w:tc>
        <w:tc>
          <w:tcPr>
            <w:tcW w:w="5518" w:type="dxa"/>
          </w:tcPr>
          <w:p w14:paraId="1DC209A5" w14:textId="075F0597" w:rsidR="00223408" w:rsidRDefault="00223408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3.2 </w:t>
            </w:r>
            <w:r w:rsidRPr="009C33A6">
              <w:t>Fragility and vulnerability functions for different hazards</w:t>
            </w:r>
          </w:p>
        </w:tc>
        <w:tc>
          <w:tcPr>
            <w:tcW w:w="1908" w:type="dxa"/>
            <w:vMerge/>
          </w:tcPr>
          <w:p w14:paraId="37F8C3A7" w14:textId="5A556004" w:rsidR="00223408" w:rsidRDefault="00223408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3408" w14:paraId="3E277D21" w14:textId="77777777" w:rsidTr="00C40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/>
          </w:tcPr>
          <w:p w14:paraId="0F3230B0" w14:textId="77777777" w:rsidR="00223408" w:rsidRDefault="00223408" w:rsidP="00C40A0C">
            <w:pPr>
              <w:jc w:val="both"/>
            </w:pPr>
          </w:p>
        </w:tc>
        <w:tc>
          <w:tcPr>
            <w:tcW w:w="5518" w:type="dxa"/>
          </w:tcPr>
          <w:p w14:paraId="13827B2D" w14:textId="1541B050" w:rsidR="00223408" w:rsidRDefault="00223408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3.3 </w:t>
            </w:r>
            <w:r w:rsidRPr="009C33A6">
              <w:t>Infrastructure systems reliability analysis</w:t>
            </w:r>
          </w:p>
        </w:tc>
        <w:tc>
          <w:tcPr>
            <w:tcW w:w="1908" w:type="dxa"/>
            <w:vMerge/>
          </w:tcPr>
          <w:p w14:paraId="0FBC1969" w14:textId="185154DE" w:rsidR="00223408" w:rsidRDefault="00223408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3408" w14:paraId="797F6C9B" w14:textId="77777777" w:rsidTr="00C40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/>
          </w:tcPr>
          <w:p w14:paraId="0BF8265F" w14:textId="77777777" w:rsidR="00223408" w:rsidRDefault="00223408" w:rsidP="00C40A0C">
            <w:pPr>
              <w:jc w:val="both"/>
            </w:pPr>
          </w:p>
        </w:tc>
        <w:tc>
          <w:tcPr>
            <w:tcW w:w="5518" w:type="dxa"/>
          </w:tcPr>
          <w:p w14:paraId="49E4B3A6" w14:textId="566B3248" w:rsidR="00223408" w:rsidRDefault="00223408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3.4 </w:t>
            </w:r>
            <w:r w:rsidRPr="009C33A6">
              <w:t>Assessing the risk of multi-asset failure</w:t>
            </w:r>
          </w:p>
        </w:tc>
        <w:tc>
          <w:tcPr>
            <w:tcW w:w="1908" w:type="dxa"/>
            <w:vMerge/>
          </w:tcPr>
          <w:p w14:paraId="65CCB66D" w14:textId="03319335" w:rsidR="00223408" w:rsidRDefault="00223408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283A" w14:paraId="493EBEEC" w14:textId="77777777" w:rsidTr="00C40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0E67C91B" w14:textId="5543A142" w:rsidR="0029283A" w:rsidRDefault="0029283A" w:rsidP="00C40A0C">
            <w:pPr>
              <w:jc w:val="both"/>
            </w:pPr>
            <w:r>
              <w:t>Hands-On</w:t>
            </w:r>
            <w:r w:rsidR="00697768">
              <w:t xml:space="preserve"> 1</w:t>
            </w:r>
          </w:p>
        </w:tc>
        <w:tc>
          <w:tcPr>
            <w:tcW w:w="5518" w:type="dxa"/>
          </w:tcPr>
          <w:p w14:paraId="3E9ABD9E" w14:textId="00C2D66D" w:rsidR="0029283A" w:rsidRDefault="00627BFD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7BFD">
              <w:t>Geospatial Assessment of Infrastructure Exposure to Climate Hazards</w:t>
            </w:r>
          </w:p>
        </w:tc>
        <w:tc>
          <w:tcPr>
            <w:tcW w:w="1908" w:type="dxa"/>
          </w:tcPr>
          <w:p w14:paraId="516921B3" w14:textId="75FC90BC" w:rsidR="0029283A" w:rsidRDefault="0013491D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D0593A">
              <w:t>.5</w:t>
            </w:r>
            <w:r w:rsidR="00046E29">
              <w:t xml:space="preserve"> h</w:t>
            </w:r>
          </w:p>
        </w:tc>
      </w:tr>
      <w:tr w:rsidR="0029283A" w14:paraId="13B46E29" w14:textId="77777777" w:rsidTr="00C40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6421B5A0" w14:textId="3BF4F7C3" w:rsidR="0029283A" w:rsidRDefault="0029283A" w:rsidP="00C40A0C">
            <w:pPr>
              <w:jc w:val="both"/>
            </w:pPr>
            <w:r>
              <w:t>Quiz</w:t>
            </w:r>
            <w:r w:rsidR="00011720">
              <w:t>/Test</w:t>
            </w:r>
          </w:p>
        </w:tc>
        <w:tc>
          <w:tcPr>
            <w:tcW w:w="5518" w:type="dxa"/>
          </w:tcPr>
          <w:p w14:paraId="7C41B03C" w14:textId="73B79172" w:rsidR="0029283A" w:rsidRDefault="0029283A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8" w:type="dxa"/>
          </w:tcPr>
          <w:p w14:paraId="7F12EA53" w14:textId="77777777" w:rsidR="0029283A" w:rsidRDefault="0029283A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7447" w14:paraId="3FAC1B61" w14:textId="77777777" w:rsidTr="00C40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 w:val="restart"/>
          </w:tcPr>
          <w:p w14:paraId="491BFB86" w14:textId="77777777" w:rsidR="004D7447" w:rsidRPr="00FA715C" w:rsidRDefault="004D7447" w:rsidP="00C40A0C">
            <w:pPr>
              <w:jc w:val="both"/>
            </w:pPr>
            <w:r>
              <w:t xml:space="preserve">4 - </w:t>
            </w:r>
            <w:r w:rsidRPr="00FA715C">
              <w:t>Calculating damage and disruption to infrastructure systems</w:t>
            </w:r>
          </w:p>
          <w:p w14:paraId="6F2185BE" w14:textId="518D2469" w:rsidR="004D7447" w:rsidRDefault="004D7447" w:rsidP="00C40A0C">
            <w:pPr>
              <w:jc w:val="both"/>
            </w:pPr>
          </w:p>
        </w:tc>
        <w:tc>
          <w:tcPr>
            <w:tcW w:w="5518" w:type="dxa"/>
          </w:tcPr>
          <w:p w14:paraId="7414B398" w14:textId="59802C30" w:rsidR="004D7447" w:rsidRDefault="004D7447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4.1 </w:t>
            </w:r>
            <w:r w:rsidRPr="00BD3D78">
              <w:t>Introduction to calculating damage and disruption</w:t>
            </w:r>
          </w:p>
        </w:tc>
        <w:tc>
          <w:tcPr>
            <w:tcW w:w="1908" w:type="dxa"/>
            <w:vMerge w:val="restart"/>
          </w:tcPr>
          <w:p w14:paraId="593ACBDF" w14:textId="3D88876F" w:rsidR="004D7447" w:rsidRDefault="00043296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4D7447">
              <w:t xml:space="preserve"> h</w:t>
            </w:r>
          </w:p>
        </w:tc>
      </w:tr>
      <w:tr w:rsidR="004D7447" w14:paraId="4AD8538A" w14:textId="77777777" w:rsidTr="00C40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/>
          </w:tcPr>
          <w:p w14:paraId="48A32B42" w14:textId="6132AB3C" w:rsidR="004D7447" w:rsidRDefault="004D7447" w:rsidP="00C40A0C">
            <w:pPr>
              <w:jc w:val="both"/>
            </w:pPr>
          </w:p>
        </w:tc>
        <w:tc>
          <w:tcPr>
            <w:tcW w:w="5518" w:type="dxa"/>
          </w:tcPr>
          <w:p w14:paraId="36BF66B5" w14:textId="7E694153" w:rsidR="004D7447" w:rsidRDefault="004D7447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4.2 </w:t>
            </w:r>
            <w:r w:rsidRPr="00BD3D78">
              <w:t>Calculating direct asset damage and interruptions to network flows</w:t>
            </w:r>
          </w:p>
        </w:tc>
        <w:tc>
          <w:tcPr>
            <w:tcW w:w="1908" w:type="dxa"/>
            <w:vMerge/>
          </w:tcPr>
          <w:p w14:paraId="67D3FE86" w14:textId="24DC8EC6" w:rsidR="004D7447" w:rsidRDefault="004D7447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7447" w14:paraId="3B34FD0B" w14:textId="77777777" w:rsidTr="00C40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/>
          </w:tcPr>
          <w:p w14:paraId="6809AE72" w14:textId="75BECEC9" w:rsidR="004D7447" w:rsidRDefault="004D7447" w:rsidP="00C40A0C">
            <w:pPr>
              <w:jc w:val="both"/>
            </w:pPr>
          </w:p>
        </w:tc>
        <w:tc>
          <w:tcPr>
            <w:tcW w:w="5518" w:type="dxa"/>
          </w:tcPr>
          <w:p w14:paraId="56763908" w14:textId="3A4B6D1B" w:rsidR="004D7447" w:rsidRDefault="004D7447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4.3 </w:t>
            </w:r>
            <w:r w:rsidRPr="00BD3D78">
              <w:t>Calculating disruptions to end-users</w:t>
            </w:r>
          </w:p>
        </w:tc>
        <w:tc>
          <w:tcPr>
            <w:tcW w:w="1908" w:type="dxa"/>
            <w:vMerge/>
          </w:tcPr>
          <w:p w14:paraId="1076DE25" w14:textId="6437037E" w:rsidR="004D7447" w:rsidRDefault="004D7447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447" w14:paraId="3AD60A0C" w14:textId="77777777" w:rsidTr="00C40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/>
          </w:tcPr>
          <w:p w14:paraId="4ABE7280" w14:textId="57E2A147" w:rsidR="004D7447" w:rsidRDefault="004D7447" w:rsidP="00C40A0C">
            <w:pPr>
              <w:jc w:val="both"/>
            </w:pPr>
          </w:p>
        </w:tc>
        <w:tc>
          <w:tcPr>
            <w:tcW w:w="5518" w:type="dxa"/>
          </w:tcPr>
          <w:p w14:paraId="073B8467" w14:textId="45E7A69E" w:rsidR="004D7447" w:rsidRDefault="004D7447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4.4 </w:t>
            </w:r>
            <w:r w:rsidRPr="005B6B1A">
              <w:t>Calculating economic consequence of disruptions to businesses</w:t>
            </w:r>
          </w:p>
        </w:tc>
        <w:tc>
          <w:tcPr>
            <w:tcW w:w="1908" w:type="dxa"/>
            <w:vMerge/>
          </w:tcPr>
          <w:p w14:paraId="11531194" w14:textId="2D8DF06F" w:rsidR="004D7447" w:rsidRDefault="004D7447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6957" w14:paraId="488CD827" w14:textId="77777777" w:rsidTr="00C40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3719EA1C" w14:textId="5284777E" w:rsidR="00756957" w:rsidRDefault="00756957" w:rsidP="00C40A0C">
            <w:pPr>
              <w:jc w:val="both"/>
            </w:pPr>
            <w:r>
              <w:t>Hands-On</w:t>
            </w:r>
            <w:r w:rsidR="00C40A0C">
              <w:t xml:space="preserve"> 2</w:t>
            </w:r>
          </w:p>
        </w:tc>
        <w:tc>
          <w:tcPr>
            <w:tcW w:w="5518" w:type="dxa"/>
          </w:tcPr>
          <w:p w14:paraId="7836F98D" w14:textId="7B90F74A" w:rsidR="00756957" w:rsidRDefault="00A94309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09">
              <w:t>Modelling infrastructure exposure and risk</w:t>
            </w:r>
          </w:p>
        </w:tc>
        <w:tc>
          <w:tcPr>
            <w:tcW w:w="1908" w:type="dxa"/>
          </w:tcPr>
          <w:p w14:paraId="70109E11" w14:textId="12DB9163" w:rsidR="00756957" w:rsidRDefault="00D14A22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D0593A">
              <w:t xml:space="preserve">.5 </w:t>
            </w:r>
            <w:r>
              <w:t>h</w:t>
            </w:r>
          </w:p>
        </w:tc>
      </w:tr>
      <w:tr w:rsidR="00D22DA1" w14:paraId="62F09E15" w14:textId="77777777" w:rsidTr="00C40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2D45FA3D" w14:textId="6A13B41C" w:rsidR="00D22DA1" w:rsidRDefault="00D22DA1" w:rsidP="00C40A0C">
            <w:pPr>
              <w:jc w:val="both"/>
            </w:pPr>
            <w:r>
              <w:t>Hands-On 3</w:t>
            </w:r>
          </w:p>
        </w:tc>
        <w:tc>
          <w:tcPr>
            <w:tcW w:w="5518" w:type="dxa"/>
          </w:tcPr>
          <w:p w14:paraId="709DC176" w14:textId="02C88CB5" w:rsidR="00D22DA1" w:rsidRPr="00A94309" w:rsidRDefault="00D22DA1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2DA1">
              <w:t>Testing multiple points of failure</w:t>
            </w:r>
          </w:p>
        </w:tc>
        <w:tc>
          <w:tcPr>
            <w:tcW w:w="1908" w:type="dxa"/>
          </w:tcPr>
          <w:p w14:paraId="6F13BAC2" w14:textId="6F72FB2B" w:rsidR="00D22DA1" w:rsidRDefault="0013491D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2129FD">
              <w:t>.5</w:t>
            </w:r>
            <w:r w:rsidR="00D0593A">
              <w:t xml:space="preserve"> </w:t>
            </w:r>
            <w:r w:rsidR="00D14A22">
              <w:t>h</w:t>
            </w:r>
          </w:p>
        </w:tc>
      </w:tr>
      <w:tr w:rsidR="00756957" w14:paraId="18F113F2" w14:textId="77777777" w:rsidTr="00C40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5E4D323F" w14:textId="38C96B21" w:rsidR="00756957" w:rsidRDefault="00756957" w:rsidP="00C40A0C">
            <w:pPr>
              <w:jc w:val="both"/>
            </w:pPr>
            <w:r>
              <w:t>Quiz</w:t>
            </w:r>
            <w:r w:rsidR="008577E9">
              <w:t>/Test</w:t>
            </w:r>
          </w:p>
        </w:tc>
        <w:tc>
          <w:tcPr>
            <w:tcW w:w="5518" w:type="dxa"/>
          </w:tcPr>
          <w:p w14:paraId="528D922C" w14:textId="412711E9" w:rsidR="00756957" w:rsidRDefault="00756957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8" w:type="dxa"/>
          </w:tcPr>
          <w:p w14:paraId="1C2D826B" w14:textId="77777777" w:rsidR="00756957" w:rsidRDefault="00756957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447" w14:paraId="79E379CA" w14:textId="77777777" w:rsidTr="00C40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 w:val="restart"/>
          </w:tcPr>
          <w:p w14:paraId="57B74EBF" w14:textId="1764450A" w:rsidR="004D7447" w:rsidRDefault="004D7447" w:rsidP="00C40A0C">
            <w:pPr>
              <w:jc w:val="both"/>
            </w:pPr>
            <w:r>
              <w:t xml:space="preserve">5 - </w:t>
            </w:r>
            <w:r w:rsidRPr="00335C30">
              <w:t>Analysing future risks</w:t>
            </w:r>
            <w:r>
              <w:t xml:space="preserve"> (part 1)</w:t>
            </w:r>
          </w:p>
        </w:tc>
        <w:tc>
          <w:tcPr>
            <w:tcW w:w="5518" w:type="dxa"/>
          </w:tcPr>
          <w:p w14:paraId="2E54D5D2" w14:textId="3E89D3E3" w:rsidR="004D7447" w:rsidRDefault="004D7447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5.1 </w:t>
            </w:r>
            <w:r w:rsidRPr="004B0112">
              <w:t>What are the future challenges?</w:t>
            </w:r>
          </w:p>
        </w:tc>
        <w:tc>
          <w:tcPr>
            <w:tcW w:w="1908" w:type="dxa"/>
            <w:vMerge w:val="restart"/>
          </w:tcPr>
          <w:p w14:paraId="079BAA5E" w14:textId="2EC7382F" w:rsidR="004D7447" w:rsidRDefault="00D0593A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4D7447">
              <w:t xml:space="preserve"> h</w:t>
            </w:r>
          </w:p>
        </w:tc>
      </w:tr>
      <w:tr w:rsidR="004D7447" w14:paraId="2E251317" w14:textId="77777777" w:rsidTr="00C40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/>
          </w:tcPr>
          <w:p w14:paraId="3D01E00C" w14:textId="14155D4D" w:rsidR="004D7447" w:rsidRDefault="004D7447" w:rsidP="00C40A0C">
            <w:pPr>
              <w:jc w:val="both"/>
            </w:pPr>
          </w:p>
        </w:tc>
        <w:tc>
          <w:tcPr>
            <w:tcW w:w="5518" w:type="dxa"/>
          </w:tcPr>
          <w:p w14:paraId="0BFD0407" w14:textId="420A1EA9" w:rsidR="004D7447" w:rsidRDefault="004D7447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5.2 </w:t>
            </w:r>
            <w:r w:rsidRPr="007B5CF1">
              <w:t>Projecting Future Climate</w:t>
            </w:r>
          </w:p>
        </w:tc>
        <w:tc>
          <w:tcPr>
            <w:tcW w:w="1908" w:type="dxa"/>
            <w:vMerge/>
          </w:tcPr>
          <w:p w14:paraId="049047F4" w14:textId="77777777" w:rsidR="004D7447" w:rsidRDefault="004D7447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447" w14:paraId="0BC6BDBC" w14:textId="77777777" w:rsidTr="00C40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/>
          </w:tcPr>
          <w:p w14:paraId="24387786" w14:textId="77777777" w:rsidR="004D7447" w:rsidRDefault="004D7447" w:rsidP="00C40A0C">
            <w:pPr>
              <w:jc w:val="both"/>
            </w:pPr>
          </w:p>
        </w:tc>
        <w:tc>
          <w:tcPr>
            <w:tcW w:w="5518" w:type="dxa"/>
          </w:tcPr>
          <w:p w14:paraId="254E1FA1" w14:textId="4190E20F" w:rsidR="004D7447" w:rsidRDefault="004D7447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5.3 </w:t>
            </w:r>
            <w:r w:rsidRPr="007B5CF1">
              <w:t>Projecting future hazards</w:t>
            </w:r>
          </w:p>
        </w:tc>
        <w:tc>
          <w:tcPr>
            <w:tcW w:w="1908" w:type="dxa"/>
            <w:vMerge/>
          </w:tcPr>
          <w:p w14:paraId="4120360F" w14:textId="77777777" w:rsidR="004D7447" w:rsidRDefault="004D7447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7447" w14:paraId="699711D8" w14:textId="77777777" w:rsidTr="00C40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/>
          </w:tcPr>
          <w:p w14:paraId="6269986E" w14:textId="77777777" w:rsidR="004D7447" w:rsidRDefault="004D7447" w:rsidP="00C40A0C">
            <w:pPr>
              <w:jc w:val="both"/>
            </w:pPr>
          </w:p>
        </w:tc>
        <w:tc>
          <w:tcPr>
            <w:tcW w:w="5518" w:type="dxa"/>
          </w:tcPr>
          <w:p w14:paraId="0809AA93" w14:textId="4F713228" w:rsidR="004D7447" w:rsidRDefault="004D7447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5.4 </w:t>
            </w:r>
            <w:r w:rsidRPr="008D4086">
              <w:t>Future hazard risk - Case study</w:t>
            </w:r>
          </w:p>
        </w:tc>
        <w:tc>
          <w:tcPr>
            <w:tcW w:w="1908" w:type="dxa"/>
            <w:vMerge/>
          </w:tcPr>
          <w:p w14:paraId="75E1917B" w14:textId="77777777" w:rsidR="004D7447" w:rsidRDefault="004D7447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6957" w14:paraId="70660CD6" w14:textId="77777777" w:rsidTr="00C40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3"/>
          </w:tcPr>
          <w:p w14:paraId="134C47AA" w14:textId="1C005D09" w:rsidR="00756957" w:rsidRDefault="00502B96" w:rsidP="00C40A0C">
            <w:r>
              <w:t>Quiz</w:t>
            </w:r>
            <w:r w:rsidR="008577E9">
              <w:t>/Test</w:t>
            </w:r>
          </w:p>
        </w:tc>
      </w:tr>
      <w:tr w:rsidR="004D7447" w14:paraId="21EDE832" w14:textId="77777777" w:rsidTr="00C40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 w:val="restart"/>
          </w:tcPr>
          <w:p w14:paraId="0CF80C69" w14:textId="21829FBB" w:rsidR="004D7447" w:rsidRDefault="004D7447" w:rsidP="00C40A0C">
            <w:pPr>
              <w:jc w:val="both"/>
            </w:pPr>
            <w:r>
              <w:t xml:space="preserve"> </w:t>
            </w:r>
            <w:r w:rsidR="001E5D87">
              <w:t>6</w:t>
            </w:r>
            <w:r>
              <w:t xml:space="preserve"> - </w:t>
            </w:r>
            <w:r w:rsidRPr="00335C30">
              <w:t>Analysing future risks</w:t>
            </w:r>
            <w:r>
              <w:t xml:space="preserve"> (part 2)</w:t>
            </w:r>
          </w:p>
        </w:tc>
        <w:tc>
          <w:tcPr>
            <w:tcW w:w="5518" w:type="dxa"/>
          </w:tcPr>
          <w:p w14:paraId="2300BEF6" w14:textId="6D409486" w:rsidR="004D7447" w:rsidRDefault="001E5D87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</w:t>
            </w:r>
            <w:r w:rsidR="004D7447">
              <w:t xml:space="preserve"> </w:t>
            </w:r>
            <w:r w:rsidR="004D7447" w:rsidRPr="00D622B4">
              <w:t>Introduction to the future needs for infrastructure</w:t>
            </w:r>
          </w:p>
        </w:tc>
        <w:tc>
          <w:tcPr>
            <w:tcW w:w="1908" w:type="dxa"/>
            <w:vMerge w:val="restart"/>
          </w:tcPr>
          <w:p w14:paraId="6EAA9A49" w14:textId="423B7BCE" w:rsidR="004D7447" w:rsidRDefault="0013491D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0C2577">
              <w:t>.5</w:t>
            </w:r>
            <w:r w:rsidR="004D7447">
              <w:t xml:space="preserve"> h</w:t>
            </w:r>
          </w:p>
        </w:tc>
      </w:tr>
      <w:tr w:rsidR="004D7447" w14:paraId="216480A8" w14:textId="77777777" w:rsidTr="00C40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/>
          </w:tcPr>
          <w:p w14:paraId="14137E95" w14:textId="77777777" w:rsidR="004D7447" w:rsidRDefault="004D7447" w:rsidP="00C40A0C">
            <w:pPr>
              <w:jc w:val="both"/>
            </w:pPr>
          </w:p>
        </w:tc>
        <w:tc>
          <w:tcPr>
            <w:tcW w:w="5518" w:type="dxa"/>
          </w:tcPr>
          <w:p w14:paraId="4AEBD5C6" w14:textId="4828A516" w:rsidR="004D7447" w:rsidRDefault="001E5D87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6.2</w:t>
            </w:r>
            <w:r w:rsidR="004D7447">
              <w:t xml:space="preserve"> </w:t>
            </w:r>
            <w:r w:rsidR="004D7447" w:rsidRPr="005C74D5">
              <w:t>Projecting future infrastructure networks</w:t>
            </w:r>
          </w:p>
        </w:tc>
        <w:tc>
          <w:tcPr>
            <w:tcW w:w="1908" w:type="dxa"/>
            <w:vMerge/>
          </w:tcPr>
          <w:p w14:paraId="5474D6E2" w14:textId="77777777" w:rsidR="004D7447" w:rsidRDefault="004D7447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7447" w14:paraId="16D4D12F" w14:textId="77777777" w:rsidTr="00C40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/>
          </w:tcPr>
          <w:p w14:paraId="5144DD38" w14:textId="77777777" w:rsidR="004D7447" w:rsidRDefault="004D7447" w:rsidP="00C40A0C">
            <w:pPr>
              <w:jc w:val="both"/>
            </w:pPr>
          </w:p>
        </w:tc>
        <w:tc>
          <w:tcPr>
            <w:tcW w:w="5518" w:type="dxa"/>
          </w:tcPr>
          <w:p w14:paraId="59E780BD" w14:textId="092B048D" w:rsidR="004D7447" w:rsidRDefault="001E5D87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6.3</w:t>
            </w:r>
            <w:r w:rsidR="004D7447">
              <w:t xml:space="preserve"> </w:t>
            </w:r>
            <w:r w:rsidR="004D7447" w:rsidRPr="005C74D5">
              <w:t>Changes in infrastructure dependencies</w:t>
            </w:r>
          </w:p>
        </w:tc>
        <w:tc>
          <w:tcPr>
            <w:tcW w:w="1908" w:type="dxa"/>
            <w:vMerge/>
          </w:tcPr>
          <w:p w14:paraId="2142B2DF" w14:textId="77777777" w:rsidR="004D7447" w:rsidRDefault="004D7447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447" w14:paraId="307E651D" w14:textId="77777777" w:rsidTr="00C40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/>
          </w:tcPr>
          <w:p w14:paraId="67BABE6C" w14:textId="77777777" w:rsidR="004D7447" w:rsidRDefault="004D7447" w:rsidP="00C40A0C">
            <w:pPr>
              <w:jc w:val="both"/>
            </w:pPr>
          </w:p>
        </w:tc>
        <w:tc>
          <w:tcPr>
            <w:tcW w:w="5518" w:type="dxa"/>
          </w:tcPr>
          <w:p w14:paraId="022817C5" w14:textId="38B694A2" w:rsidR="004D7447" w:rsidRDefault="001E5D87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6.4</w:t>
            </w:r>
            <w:r w:rsidR="004D7447">
              <w:t xml:space="preserve"> </w:t>
            </w:r>
            <w:r w:rsidR="004D7447" w:rsidRPr="005C74D5">
              <w:t>Future infrastructure needs in practice</w:t>
            </w:r>
          </w:p>
        </w:tc>
        <w:tc>
          <w:tcPr>
            <w:tcW w:w="1908" w:type="dxa"/>
            <w:vMerge/>
          </w:tcPr>
          <w:p w14:paraId="57248E92" w14:textId="77777777" w:rsidR="004D7447" w:rsidRDefault="004D7447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1095" w14:paraId="20CBF103" w14:textId="77777777" w:rsidTr="00C40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7BF9CD7E" w14:textId="3131575F" w:rsidR="005F1095" w:rsidRDefault="003206AA" w:rsidP="00C40A0C">
            <w:pPr>
              <w:jc w:val="both"/>
            </w:pPr>
            <w:r>
              <w:t>Quiz</w:t>
            </w:r>
            <w:r w:rsidR="008577E9">
              <w:t>/Test</w:t>
            </w:r>
          </w:p>
        </w:tc>
        <w:tc>
          <w:tcPr>
            <w:tcW w:w="5518" w:type="dxa"/>
          </w:tcPr>
          <w:p w14:paraId="394D5150" w14:textId="77777777" w:rsidR="005F1095" w:rsidRDefault="005F1095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8" w:type="dxa"/>
          </w:tcPr>
          <w:p w14:paraId="66352B53" w14:textId="77777777" w:rsidR="005F1095" w:rsidRDefault="005F1095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61D1" w14:paraId="31B6D301" w14:textId="77777777" w:rsidTr="00C40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 w:val="restart"/>
          </w:tcPr>
          <w:p w14:paraId="1F799B53" w14:textId="63F6A5D2" w:rsidR="00F061D1" w:rsidRDefault="00004604" w:rsidP="00C40A0C">
            <w:pPr>
              <w:jc w:val="both"/>
            </w:pPr>
            <w:r>
              <w:t>7</w:t>
            </w:r>
            <w:r w:rsidR="00F061D1">
              <w:t xml:space="preserve"> - </w:t>
            </w:r>
            <w:r w:rsidR="00F061D1" w:rsidRPr="002E1CB3">
              <w:t>Making decisions for infrastructure resilience</w:t>
            </w:r>
          </w:p>
        </w:tc>
        <w:tc>
          <w:tcPr>
            <w:tcW w:w="5518" w:type="dxa"/>
          </w:tcPr>
          <w:p w14:paraId="174874E1" w14:textId="3F5FA8AF" w:rsidR="00F061D1" w:rsidRDefault="00004604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  <w:r w:rsidR="00F061D1">
              <w:t xml:space="preserve">.1 </w:t>
            </w:r>
            <w:r w:rsidR="00F061D1" w:rsidRPr="002E1CB3">
              <w:t>Actions for enhancing resilience</w:t>
            </w:r>
          </w:p>
        </w:tc>
        <w:tc>
          <w:tcPr>
            <w:tcW w:w="1908" w:type="dxa"/>
            <w:vMerge w:val="restart"/>
          </w:tcPr>
          <w:p w14:paraId="51B89848" w14:textId="76B2C0DE" w:rsidR="00F061D1" w:rsidRDefault="0013491D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0C2577">
              <w:t>.5</w:t>
            </w:r>
            <w:r>
              <w:t xml:space="preserve"> h</w:t>
            </w:r>
          </w:p>
        </w:tc>
      </w:tr>
      <w:tr w:rsidR="00F061D1" w14:paraId="151C8E9B" w14:textId="77777777" w:rsidTr="00C40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/>
          </w:tcPr>
          <w:p w14:paraId="4DC9A6D4" w14:textId="77777777" w:rsidR="00F061D1" w:rsidRDefault="00F061D1" w:rsidP="00C40A0C">
            <w:pPr>
              <w:jc w:val="both"/>
            </w:pPr>
          </w:p>
        </w:tc>
        <w:tc>
          <w:tcPr>
            <w:tcW w:w="5518" w:type="dxa"/>
          </w:tcPr>
          <w:p w14:paraId="4C11E835" w14:textId="7E96DF6D" w:rsidR="00F061D1" w:rsidRDefault="00004604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="00F061D1">
              <w:t xml:space="preserve">.2 </w:t>
            </w:r>
            <w:r w:rsidR="00F061D1" w:rsidRPr="00676706">
              <w:t>Evaluating actions</w:t>
            </w:r>
          </w:p>
        </w:tc>
        <w:tc>
          <w:tcPr>
            <w:tcW w:w="1908" w:type="dxa"/>
            <w:vMerge/>
          </w:tcPr>
          <w:p w14:paraId="6606273F" w14:textId="77777777" w:rsidR="00F061D1" w:rsidRDefault="00F061D1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61D1" w14:paraId="6CC5900E" w14:textId="77777777" w:rsidTr="00C40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/>
          </w:tcPr>
          <w:p w14:paraId="0397874F" w14:textId="77777777" w:rsidR="00F061D1" w:rsidRDefault="00F061D1" w:rsidP="00C40A0C">
            <w:pPr>
              <w:jc w:val="both"/>
            </w:pPr>
          </w:p>
        </w:tc>
        <w:tc>
          <w:tcPr>
            <w:tcW w:w="5518" w:type="dxa"/>
          </w:tcPr>
          <w:p w14:paraId="672EA19C" w14:textId="76CEAAB3" w:rsidR="00F061D1" w:rsidRDefault="00004604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  <w:r w:rsidR="00F061D1">
              <w:t xml:space="preserve">.3 </w:t>
            </w:r>
            <w:r w:rsidR="00F061D1" w:rsidRPr="00676706">
              <w:t>Decision-making under uncertainty</w:t>
            </w:r>
          </w:p>
        </w:tc>
        <w:tc>
          <w:tcPr>
            <w:tcW w:w="1908" w:type="dxa"/>
            <w:vMerge/>
          </w:tcPr>
          <w:p w14:paraId="02FADB8E" w14:textId="77777777" w:rsidR="00F061D1" w:rsidRDefault="00F061D1" w:rsidP="00C40A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61D1" w14:paraId="71240979" w14:textId="77777777" w:rsidTr="009C5B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/>
          </w:tcPr>
          <w:p w14:paraId="72344F23" w14:textId="77777777" w:rsidR="00F061D1" w:rsidRDefault="00F061D1" w:rsidP="00C40A0C">
            <w:pPr>
              <w:jc w:val="both"/>
            </w:pPr>
          </w:p>
        </w:tc>
        <w:tc>
          <w:tcPr>
            <w:tcW w:w="5518" w:type="dxa"/>
            <w:tcBorders>
              <w:bottom w:val="single" w:sz="4" w:space="0" w:color="7F7F7F" w:themeColor="text1" w:themeTint="80"/>
            </w:tcBorders>
          </w:tcPr>
          <w:p w14:paraId="5BCCF1C4" w14:textId="0FD37628" w:rsidR="00F061D1" w:rsidRDefault="00004604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="00F061D1">
              <w:t xml:space="preserve">.4 </w:t>
            </w:r>
            <w:r w:rsidR="00F061D1" w:rsidRPr="00463C33">
              <w:t>Methods and processes for good decision-making</w:t>
            </w:r>
          </w:p>
        </w:tc>
        <w:tc>
          <w:tcPr>
            <w:tcW w:w="1908" w:type="dxa"/>
            <w:vMerge/>
          </w:tcPr>
          <w:p w14:paraId="6063D660" w14:textId="77777777" w:rsidR="00F061D1" w:rsidRDefault="00F061D1" w:rsidP="00C40A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447" w14:paraId="7ECD6306" w14:textId="77777777" w:rsidTr="00C40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1D8D8755" w14:textId="40270D3C" w:rsidR="004D7447" w:rsidRDefault="004D7447" w:rsidP="00E41D67">
            <w:pPr>
              <w:jc w:val="both"/>
            </w:pPr>
            <w:r>
              <w:t>Hands-On 4</w:t>
            </w:r>
          </w:p>
        </w:tc>
        <w:tc>
          <w:tcPr>
            <w:tcW w:w="5518" w:type="dxa"/>
          </w:tcPr>
          <w:p w14:paraId="598D9906" w14:textId="2A6D297F" w:rsidR="004D7447" w:rsidRDefault="004D7447" w:rsidP="00E41D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15A">
              <w:t>Evaluating infrastructure adaptation options</w:t>
            </w:r>
          </w:p>
        </w:tc>
        <w:tc>
          <w:tcPr>
            <w:tcW w:w="1908" w:type="dxa"/>
          </w:tcPr>
          <w:p w14:paraId="28347085" w14:textId="6DBB8659" w:rsidR="004D7447" w:rsidRDefault="00D0593A" w:rsidP="00E41D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2129FD">
              <w:t>.5</w:t>
            </w:r>
            <w:r>
              <w:t xml:space="preserve"> </w:t>
            </w:r>
            <w:r w:rsidR="00D14A22">
              <w:t>h</w:t>
            </w:r>
          </w:p>
        </w:tc>
      </w:tr>
      <w:tr w:rsidR="001A3622" w14:paraId="7CB19A21" w14:textId="77777777" w:rsidTr="00C40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013DF9A4" w14:textId="6A72DD70" w:rsidR="001A3622" w:rsidRDefault="001A3622" w:rsidP="001A3622">
            <w:pPr>
              <w:jc w:val="both"/>
            </w:pPr>
            <w:r>
              <w:t>Hands-On 5</w:t>
            </w:r>
          </w:p>
        </w:tc>
        <w:tc>
          <w:tcPr>
            <w:tcW w:w="5518" w:type="dxa"/>
          </w:tcPr>
          <w:p w14:paraId="419EC08D" w14:textId="010E4F2F" w:rsidR="001A3622" w:rsidRPr="00F7215A" w:rsidRDefault="00DA2FC9" w:rsidP="001A36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Aggregating split attributes</w:t>
            </w:r>
            <w:r w:rsidR="003B5C39">
              <w:t xml:space="preserve"> - tutorial</w:t>
            </w:r>
          </w:p>
        </w:tc>
        <w:tc>
          <w:tcPr>
            <w:tcW w:w="1908" w:type="dxa"/>
          </w:tcPr>
          <w:p w14:paraId="024DC600" w14:textId="37052965" w:rsidR="001A3622" w:rsidRDefault="003B5C39" w:rsidP="001A36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1A3622">
              <w:t xml:space="preserve"> h</w:t>
            </w:r>
          </w:p>
        </w:tc>
      </w:tr>
      <w:tr w:rsidR="001A3622" w14:paraId="5D3E414C" w14:textId="77777777" w:rsidTr="00C40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285CCCAD" w14:textId="1EAC7E17" w:rsidR="001A3622" w:rsidRDefault="001A3622" w:rsidP="001A3622">
            <w:pPr>
              <w:jc w:val="both"/>
            </w:pPr>
            <w:r>
              <w:t>Quiz/Test</w:t>
            </w:r>
          </w:p>
        </w:tc>
        <w:tc>
          <w:tcPr>
            <w:tcW w:w="5518" w:type="dxa"/>
          </w:tcPr>
          <w:p w14:paraId="0B24C71E" w14:textId="77777777" w:rsidR="001A3622" w:rsidRDefault="001A3622" w:rsidP="001A36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8" w:type="dxa"/>
          </w:tcPr>
          <w:p w14:paraId="1CF77B34" w14:textId="77777777" w:rsidR="001A3622" w:rsidRDefault="001A3622" w:rsidP="001A36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A3622" w14:paraId="4272C4E1" w14:textId="77777777" w:rsidTr="00C40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 w:val="restart"/>
          </w:tcPr>
          <w:p w14:paraId="2AE2A2F2" w14:textId="6277706A" w:rsidR="001A3622" w:rsidRDefault="001A3622" w:rsidP="001A3622">
            <w:pPr>
              <w:jc w:val="center"/>
            </w:pPr>
            <w:r>
              <w:t>PROJECT</w:t>
            </w:r>
          </w:p>
        </w:tc>
        <w:tc>
          <w:tcPr>
            <w:tcW w:w="5518" w:type="dxa"/>
          </w:tcPr>
          <w:p w14:paraId="5391D7E8" w14:textId="61CCEC7F" w:rsidR="001A3622" w:rsidRDefault="001A3622" w:rsidP="001A36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Project: Data Collection and Processing </w:t>
            </w:r>
          </w:p>
        </w:tc>
        <w:tc>
          <w:tcPr>
            <w:tcW w:w="1908" w:type="dxa"/>
          </w:tcPr>
          <w:p w14:paraId="1D14CFC0" w14:textId="4715B766" w:rsidR="001A3622" w:rsidRDefault="001A3622" w:rsidP="001A36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 h</w:t>
            </w:r>
          </w:p>
        </w:tc>
      </w:tr>
      <w:tr w:rsidR="001A3622" w14:paraId="24637931" w14:textId="77777777" w:rsidTr="00C40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/>
          </w:tcPr>
          <w:p w14:paraId="34C1ECBA" w14:textId="77777777" w:rsidR="001A3622" w:rsidRDefault="001A3622" w:rsidP="001A3622">
            <w:pPr>
              <w:jc w:val="both"/>
            </w:pPr>
          </w:p>
        </w:tc>
        <w:tc>
          <w:tcPr>
            <w:tcW w:w="5518" w:type="dxa"/>
          </w:tcPr>
          <w:p w14:paraId="0EA37005" w14:textId="18CA5961" w:rsidR="001A3622" w:rsidRDefault="001A3622" w:rsidP="001A36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Project: Network development and hazard direct and indirect impacts calculation</w:t>
            </w:r>
          </w:p>
        </w:tc>
        <w:tc>
          <w:tcPr>
            <w:tcW w:w="1908" w:type="dxa"/>
          </w:tcPr>
          <w:p w14:paraId="2F0D1821" w14:textId="7FB33C54" w:rsidR="001A3622" w:rsidRDefault="001A3622" w:rsidP="001A36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 h</w:t>
            </w:r>
          </w:p>
        </w:tc>
      </w:tr>
      <w:tr w:rsidR="001A3622" w14:paraId="622C27AE" w14:textId="77777777" w:rsidTr="00C40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/>
          </w:tcPr>
          <w:p w14:paraId="3C489204" w14:textId="77777777" w:rsidR="001A3622" w:rsidRDefault="001A3622" w:rsidP="001A3622">
            <w:pPr>
              <w:jc w:val="both"/>
            </w:pPr>
          </w:p>
        </w:tc>
        <w:tc>
          <w:tcPr>
            <w:tcW w:w="5518" w:type="dxa"/>
          </w:tcPr>
          <w:p w14:paraId="47167EB7" w14:textId="0EDBE4D7" w:rsidR="001A3622" w:rsidRDefault="001A3622" w:rsidP="001A36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Project: Results Analysis, Report and Presentation/data in brief Development</w:t>
            </w:r>
          </w:p>
        </w:tc>
        <w:tc>
          <w:tcPr>
            <w:tcW w:w="1908" w:type="dxa"/>
          </w:tcPr>
          <w:p w14:paraId="45081576" w14:textId="76B549B2" w:rsidR="001A3622" w:rsidRDefault="001A3622" w:rsidP="001A36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 h </w:t>
            </w:r>
          </w:p>
        </w:tc>
      </w:tr>
      <w:tr w:rsidR="001A3622" w14:paraId="6DCA9937" w14:textId="77777777" w:rsidTr="00C40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Merge/>
          </w:tcPr>
          <w:p w14:paraId="0FDEE6C1" w14:textId="77777777" w:rsidR="001A3622" w:rsidRDefault="001A3622" w:rsidP="001A3622">
            <w:pPr>
              <w:jc w:val="both"/>
            </w:pPr>
          </w:p>
        </w:tc>
        <w:tc>
          <w:tcPr>
            <w:tcW w:w="5518" w:type="dxa"/>
          </w:tcPr>
          <w:p w14:paraId="75473754" w14:textId="24E6BE4F" w:rsidR="001A3622" w:rsidRDefault="001A3622" w:rsidP="001A36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Submission of report and presentation/data in brief</w:t>
            </w:r>
          </w:p>
        </w:tc>
        <w:tc>
          <w:tcPr>
            <w:tcW w:w="1908" w:type="dxa"/>
          </w:tcPr>
          <w:p w14:paraId="48227AB7" w14:textId="0366A893" w:rsidR="001A3622" w:rsidRDefault="001A3622" w:rsidP="001A36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 min</w:t>
            </w:r>
          </w:p>
        </w:tc>
      </w:tr>
    </w:tbl>
    <w:p w14:paraId="3845425C" w14:textId="24860E7D" w:rsidR="00D8041C" w:rsidRPr="00D8041C" w:rsidRDefault="00C40A0C" w:rsidP="00D8041C">
      <w:pPr>
        <w:jc w:val="both"/>
      </w:pPr>
      <w:r>
        <w:br w:type="textWrapping" w:clear="all"/>
      </w:r>
    </w:p>
    <w:sectPr w:rsidR="00D8041C" w:rsidRPr="00D8041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8CAE8" w14:textId="77777777" w:rsidR="00F57416" w:rsidRDefault="00F57416" w:rsidP="007C767C">
      <w:pPr>
        <w:spacing w:after="0" w:line="240" w:lineRule="auto"/>
      </w:pPr>
      <w:r>
        <w:separator/>
      </w:r>
    </w:p>
  </w:endnote>
  <w:endnote w:type="continuationSeparator" w:id="0">
    <w:p w14:paraId="3955F66B" w14:textId="77777777" w:rsidR="00F57416" w:rsidRDefault="00F57416" w:rsidP="007C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7449D" w14:textId="77777777" w:rsidR="00F57416" w:rsidRDefault="00F57416" w:rsidP="007C767C">
      <w:pPr>
        <w:spacing w:after="0" w:line="240" w:lineRule="auto"/>
      </w:pPr>
      <w:r>
        <w:separator/>
      </w:r>
    </w:p>
  </w:footnote>
  <w:footnote w:type="continuationSeparator" w:id="0">
    <w:p w14:paraId="1DF58E38" w14:textId="77777777" w:rsidR="00F57416" w:rsidRDefault="00F57416" w:rsidP="007C7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6590" w14:textId="0A09137B" w:rsidR="007C767C" w:rsidRDefault="00445B47">
    <w:pPr>
      <w:pStyle w:val="Header"/>
    </w:pPr>
    <w:r w:rsidRPr="00FC294F">
      <w:rPr>
        <w:noProof/>
      </w:rPr>
      <w:drawing>
        <wp:anchor distT="0" distB="0" distL="114300" distR="114300" simplePos="0" relativeHeight="251658240" behindDoc="0" locked="0" layoutInCell="1" allowOverlap="1" wp14:anchorId="193D1EAB" wp14:editId="7AED417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58850" cy="958850"/>
          <wp:effectExtent l="0" t="0" r="0" b="0"/>
          <wp:wrapTopAndBottom/>
          <wp:docPr id="5" name="Picture 4" descr="A logo of a wifi connection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573AF4E3-9EFC-1D75-2FD7-9FCA2017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logo of a wifi connection&#10;&#10;AI-generated content may be incorrect.">
                    <a:extLst>
                      <a:ext uri="{FF2B5EF4-FFF2-40B4-BE49-F238E27FC236}">
                        <a16:creationId xmlns:a16="http://schemas.microsoft.com/office/drawing/2014/main" id="{573AF4E3-9EFC-1D75-2FD7-9FCA2017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958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67C">
      <w:rPr>
        <w:noProof/>
      </w:rPr>
      <w:drawing>
        <wp:anchor distT="114300" distB="114300" distL="114300" distR="114300" simplePos="0" relativeHeight="251658241" behindDoc="1" locked="0" layoutInCell="1" hidden="0" allowOverlap="1" wp14:anchorId="501BC97A" wp14:editId="1862F0C0">
          <wp:simplePos x="0" y="0"/>
          <wp:positionH relativeFrom="column">
            <wp:posOffset>5683620</wp:posOffset>
          </wp:positionH>
          <wp:positionV relativeFrom="paragraph">
            <wp:posOffset>-402132</wp:posOffset>
          </wp:positionV>
          <wp:extent cx="809625" cy="80962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1C"/>
    <w:rsid w:val="00004604"/>
    <w:rsid w:val="00011720"/>
    <w:rsid w:val="00043296"/>
    <w:rsid w:val="00046186"/>
    <w:rsid w:val="00046E29"/>
    <w:rsid w:val="000A135E"/>
    <w:rsid w:val="000A3BBF"/>
    <w:rsid w:val="000A3F1E"/>
    <w:rsid w:val="000C2577"/>
    <w:rsid w:val="00107613"/>
    <w:rsid w:val="0011507E"/>
    <w:rsid w:val="00116B3C"/>
    <w:rsid w:val="0013491D"/>
    <w:rsid w:val="00161E1A"/>
    <w:rsid w:val="00164ECA"/>
    <w:rsid w:val="00181919"/>
    <w:rsid w:val="00185BE5"/>
    <w:rsid w:val="00191CA8"/>
    <w:rsid w:val="001A2A22"/>
    <w:rsid w:val="001A3622"/>
    <w:rsid w:val="001D0430"/>
    <w:rsid w:val="001E5D87"/>
    <w:rsid w:val="001F32CB"/>
    <w:rsid w:val="002129FD"/>
    <w:rsid w:val="00223408"/>
    <w:rsid w:val="00227016"/>
    <w:rsid w:val="00250CF0"/>
    <w:rsid w:val="0025268A"/>
    <w:rsid w:val="0029283A"/>
    <w:rsid w:val="002B142C"/>
    <w:rsid w:val="002B4EC5"/>
    <w:rsid w:val="002E1CB3"/>
    <w:rsid w:val="002E413B"/>
    <w:rsid w:val="002E7F58"/>
    <w:rsid w:val="003206AA"/>
    <w:rsid w:val="00323FCE"/>
    <w:rsid w:val="00335C30"/>
    <w:rsid w:val="00341343"/>
    <w:rsid w:val="0038760A"/>
    <w:rsid w:val="00392E84"/>
    <w:rsid w:val="003B5C39"/>
    <w:rsid w:val="003B7F66"/>
    <w:rsid w:val="003D424D"/>
    <w:rsid w:val="003D6905"/>
    <w:rsid w:val="003E57BC"/>
    <w:rsid w:val="004071D2"/>
    <w:rsid w:val="00445B47"/>
    <w:rsid w:val="00463C33"/>
    <w:rsid w:val="00475A20"/>
    <w:rsid w:val="004B0112"/>
    <w:rsid w:val="004C4D7D"/>
    <w:rsid w:val="004D7447"/>
    <w:rsid w:val="004E7988"/>
    <w:rsid w:val="00502760"/>
    <w:rsid w:val="00502B96"/>
    <w:rsid w:val="00511871"/>
    <w:rsid w:val="005852D9"/>
    <w:rsid w:val="00590191"/>
    <w:rsid w:val="005B6B1A"/>
    <w:rsid w:val="005C58F4"/>
    <w:rsid w:val="005C74D5"/>
    <w:rsid w:val="005D03CE"/>
    <w:rsid w:val="005F1095"/>
    <w:rsid w:val="00627BFD"/>
    <w:rsid w:val="00660E7E"/>
    <w:rsid w:val="00676706"/>
    <w:rsid w:val="00697768"/>
    <w:rsid w:val="006E6965"/>
    <w:rsid w:val="00720E3A"/>
    <w:rsid w:val="00756957"/>
    <w:rsid w:val="00757E73"/>
    <w:rsid w:val="0076502D"/>
    <w:rsid w:val="0076511F"/>
    <w:rsid w:val="007711DC"/>
    <w:rsid w:val="00795225"/>
    <w:rsid w:val="00796EAE"/>
    <w:rsid w:val="007B5CF1"/>
    <w:rsid w:val="007C767C"/>
    <w:rsid w:val="007D34CF"/>
    <w:rsid w:val="007D77ED"/>
    <w:rsid w:val="00800017"/>
    <w:rsid w:val="00833004"/>
    <w:rsid w:val="008577E9"/>
    <w:rsid w:val="00870B5B"/>
    <w:rsid w:val="008D4086"/>
    <w:rsid w:val="008D6E47"/>
    <w:rsid w:val="008F3CDF"/>
    <w:rsid w:val="008F4169"/>
    <w:rsid w:val="00905B23"/>
    <w:rsid w:val="009979DA"/>
    <w:rsid w:val="009C33A6"/>
    <w:rsid w:val="00A94309"/>
    <w:rsid w:val="00AD07C0"/>
    <w:rsid w:val="00AD7409"/>
    <w:rsid w:val="00B406A1"/>
    <w:rsid w:val="00B5482B"/>
    <w:rsid w:val="00B6035F"/>
    <w:rsid w:val="00B60C49"/>
    <w:rsid w:val="00B6280C"/>
    <w:rsid w:val="00B66E4C"/>
    <w:rsid w:val="00B7690A"/>
    <w:rsid w:val="00B87DE1"/>
    <w:rsid w:val="00BA29A7"/>
    <w:rsid w:val="00BA365E"/>
    <w:rsid w:val="00BC449E"/>
    <w:rsid w:val="00BC7832"/>
    <w:rsid w:val="00BD3D78"/>
    <w:rsid w:val="00BF01B4"/>
    <w:rsid w:val="00C05BD7"/>
    <w:rsid w:val="00C169B9"/>
    <w:rsid w:val="00C237D5"/>
    <w:rsid w:val="00C37FE3"/>
    <w:rsid w:val="00C40887"/>
    <w:rsid w:val="00C40A0C"/>
    <w:rsid w:val="00CB267A"/>
    <w:rsid w:val="00CF4329"/>
    <w:rsid w:val="00CF4E54"/>
    <w:rsid w:val="00D0593A"/>
    <w:rsid w:val="00D14A22"/>
    <w:rsid w:val="00D22DA1"/>
    <w:rsid w:val="00D27D19"/>
    <w:rsid w:val="00D3175E"/>
    <w:rsid w:val="00D31DB2"/>
    <w:rsid w:val="00D44F96"/>
    <w:rsid w:val="00D622B4"/>
    <w:rsid w:val="00D8041C"/>
    <w:rsid w:val="00DA19AC"/>
    <w:rsid w:val="00DA2FC9"/>
    <w:rsid w:val="00DA5741"/>
    <w:rsid w:val="00DB0F89"/>
    <w:rsid w:val="00DC5857"/>
    <w:rsid w:val="00DD1032"/>
    <w:rsid w:val="00DF5B23"/>
    <w:rsid w:val="00E0139C"/>
    <w:rsid w:val="00E1119E"/>
    <w:rsid w:val="00E41D67"/>
    <w:rsid w:val="00E61D6D"/>
    <w:rsid w:val="00E633D0"/>
    <w:rsid w:val="00E6576F"/>
    <w:rsid w:val="00EA06E1"/>
    <w:rsid w:val="00EE4E96"/>
    <w:rsid w:val="00EE77DA"/>
    <w:rsid w:val="00EF35E7"/>
    <w:rsid w:val="00F03081"/>
    <w:rsid w:val="00F061D1"/>
    <w:rsid w:val="00F128FD"/>
    <w:rsid w:val="00F46331"/>
    <w:rsid w:val="00F57416"/>
    <w:rsid w:val="00F7215A"/>
    <w:rsid w:val="00F734A7"/>
    <w:rsid w:val="00F74C53"/>
    <w:rsid w:val="00F927BD"/>
    <w:rsid w:val="00FA715C"/>
    <w:rsid w:val="00FC1620"/>
    <w:rsid w:val="00FD00EC"/>
    <w:rsid w:val="0C778A0D"/>
    <w:rsid w:val="10C16A53"/>
    <w:rsid w:val="115622AC"/>
    <w:rsid w:val="36655DF4"/>
    <w:rsid w:val="391DEC63"/>
    <w:rsid w:val="3E5E7EC5"/>
    <w:rsid w:val="3FD5C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DEF61"/>
  <w15:chartTrackingRefBased/>
  <w15:docId w15:val="{D8A36D00-BD15-47DD-A2C7-D4E2F516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4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4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4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4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4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D8041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C7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67C"/>
  </w:style>
  <w:style w:type="paragraph" w:styleId="Footer">
    <w:name w:val="footer"/>
    <w:basedOn w:val="Normal"/>
    <w:link w:val="FooterChar"/>
    <w:uiPriority w:val="99"/>
    <w:unhideWhenUsed/>
    <w:rsid w:val="007C7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67C"/>
  </w:style>
  <w:style w:type="character" w:styleId="Hyperlink">
    <w:name w:val="Hyperlink"/>
    <w:basedOn w:val="DefaultParagraphFont"/>
    <w:uiPriority w:val="99"/>
    <w:unhideWhenUsed/>
    <w:rsid w:val="00392E84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7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7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7D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D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reativecommons.org/licenses/by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739A705A62B43BBDEBDF200A36E2F" ma:contentTypeVersion="15" ma:contentTypeDescription="Create a new document." ma:contentTypeScope="" ma:versionID="e46aabf10f48f39eced26a884b87b495">
  <xsd:schema xmlns:xsd="http://www.w3.org/2001/XMLSchema" xmlns:xs="http://www.w3.org/2001/XMLSchema" xmlns:p="http://schemas.microsoft.com/office/2006/metadata/properties" xmlns:ns2="99f35b40-b313-45d5-84e3-56de909f702b" xmlns:ns3="3f55d22f-630c-4924-ac9c-b86be3e1d73b" targetNamespace="http://schemas.microsoft.com/office/2006/metadata/properties" ma:root="true" ma:fieldsID="82377a0e4449950b54318b6fd82fae94" ns2:_="" ns3:_="">
    <xsd:import namespace="99f35b40-b313-45d5-84e3-56de909f702b"/>
    <xsd:import namespace="3f55d22f-630c-4924-ac9c-b86be3e1d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35b40-b313-45d5-84e3-56de909f70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5d22f-630c-4924-ac9c-b86be3e1d73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b1e2176-f776-4a0d-995a-6aa78e61244a}" ma:internalName="TaxCatchAll" ma:showField="CatchAllData" ma:web="3f55d22f-630c-4924-ac9c-b86be3e1d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f35b40-b313-45d5-84e3-56de909f702b">
      <Terms xmlns="http://schemas.microsoft.com/office/infopath/2007/PartnerControls"/>
    </lcf76f155ced4ddcb4097134ff3c332f>
    <TaxCatchAll xmlns="3f55d22f-630c-4924-ac9c-b86be3e1d73b" xsi:nil="true"/>
  </documentManagement>
</p:properties>
</file>

<file path=customXml/itemProps1.xml><?xml version="1.0" encoding="utf-8"?>
<ds:datastoreItem xmlns:ds="http://schemas.openxmlformats.org/officeDocument/2006/customXml" ds:itemID="{28CF6180-0459-4B81-8174-47C171D06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35b40-b313-45d5-84e3-56de909f702b"/>
    <ds:schemaRef ds:uri="3f55d22f-630c-4924-ac9c-b86be3e1d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940BAC-90E1-46A4-BFE2-8195E08525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07A67D-4A80-4E80-87D6-52D85C1944E6}">
  <ds:schemaRefs>
    <ds:schemaRef ds:uri="http://schemas.microsoft.com/office/2006/metadata/properties"/>
    <ds:schemaRef ds:uri="http://schemas.microsoft.com/office/infopath/2007/PartnerControls"/>
    <ds:schemaRef ds:uri="99f35b40-b313-45d5-84e3-56de909f702b"/>
    <ds:schemaRef ds:uri="3f55d22f-630c-4924-ac9c-b86be3e1d7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408</Words>
  <Characters>3319</Characters>
  <Application>Microsoft Office Word</Application>
  <DocSecurity>0</DocSecurity>
  <Lines>58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Fynn Kiley</dc:creator>
  <cp:keywords/>
  <dc:description/>
  <cp:lastModifiedBy>Silvia Colombo</cp:lastModifiedBy>
  <cp:revision>54</cp:revision>
  <dcterms:created xsi:type="dcterms:W3CDTF">2025-09-30T06:58:00Z</dcterms:created>
  <dcterms:modified xsi:type="dcterms:W3CDTF">2026-01-21T22:52:00Z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0x010100C03739A705A62B43BBDEBDF200A36E2F</vt:lpwstr>
  </property>
  <property fmtid="{D5CDD505-2E9C-101B-9397-08002B2CF9AE}" pid="3" name="MediaServiceImageTags">
    <vt:lpwstr/>
  </property>
</Properties>
</file>