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4C5A7" w14:textId="39A84663" w:rsidR="008C400B" w:rsidRPr="0015349E" w:rsidRDefault="0009742A" w:rsidP="00CC211B">
      <w:pPr>
        <w:pStyle w:val="Title"/>
        <w:rPr>
          <w:rFonts w:ascii="Open Sans" w:hAnsi="Open Sans" w:cs="Open Sans"/>
          <w:sz w:val="40"/>
          <w:szCs w:val="40"/>
        </w:rPr>
      </w:pPr>
      <w:bookmarkStart w:id="0" w:name="_Hlk201240500"/>
      <w:r w:rsidRPr="0015349E">
        <w:rPr>
          <w:rFonts w:ascii="Open Sans" w:hAnsi="Open Sans" w:cs="Open Sans"/>
          <w:sz w:val="40"/>
          <w:szCs w:val="40"/>
        </w:rPr>
        <w:t>Data Driven, Integrated and Inclusive Energy Planning</w:t>
      </w:r>
      <w:r w:rsidR="005557D4" w:rsidRPr="0015349E">
        <w:rPr>
          <w:rFonts w:ascii="Open Sans" w:hAnsi="Open Sans" w:cs="Open Sans"/>
          <w:sz w:val="40"/>
          <w:szCs w:val="40"/>
        </w:rPr>
        <w:t xml:space="preserve"> with </w:t>
      </w:r>
      <w:r w:rsidR="00B52C21">
        <w:rPr>
          <w:rFonts w:ascii="Open Sans" w:hAnsi="Open Sans" w:cs="Open Sans"/>
          <w:sz w:val="40"/>
          <w:szCs w:val="40"/>
        </w:rPr>
        <w:t>EAE</w:t>
      </w:r>
    </w:p>
    <w:bookmarkEnd w:id="0"/>
    <w:p w14:paraId="622E413D" w14:textId="06420DEA" w:rsidR="003C5AD1" w:rsidRPr="0015349E" w:rsidRDefault="003C5AD1" w:rsidP="005D7671">
      <w:pPr>
        <w:rPr>
          <w:rFonts w:ascii="Open Sans" w:hAnsi="Open Sans" w:cs="Open Sans"/>
          <w:b/>
          <w:bCs/>
        </w:rPr>
      </w:pPr>
      <w:r w:rsidRPr="0015349E">
        <w:rPr>
          <w:rFonts w:ascii="Open Sans" w:hAnsi="Open Sans" w:cs="Open Sans"/>
          <w:b/>
          <w:bCs/>
        </w:rPr>
        <w:t>Licen</w:t>
      </w:r>
      <w:r w:rsidR="00607657" w:rsidRPr="0015349E">
        <w:rPr>
          <w:rFonts w:ascii="Open Sans" w:hAnsi="Open Sans" w:cs="Open Sans"/>
          <w:b/>
          <w:bCs/>
        </w:rPr>
        <w:t>s</w:t>
      </w:r>
      <w:r w:rsidRPr="0015349E">
        <w:rPr>
          <w:rFonts w:ascii="Open Sans" w:hAnsi="Open Sans" w:cs="Open Sans"/>
          <w:b/>
          <w:bCs/>
        </w:rPr>
        <w:t>e:</w:t>
      </w:r>
    </w:p>
    <w:p w14:paraId="32B8C0AD" w14:textId="680F2626" w:rsidR="003C5AD1" w:rsidRPr="0015349E" w:rsidRDefault="003C5AD1" w:rsidP="003C5AD1">
      <w:pPr>
        <w:rPr>
          <w:rFonts w:ascii="Open Sans" w:hAnsi="Open Sans" w:cs="Open Sans"/>
        </w:rPr>
      </w:pPr>
      <w:r w:rsidRPr="0015349E">
        <w:rPr>
          <w:rFonts w:ascii="Open Sans" w:hAnsi="Open Sans" w:cs="Open Sans"/>
        </w:rPr>
        <w:t xml:space="preserve">This work is licensed under the Creative Commons Attribution 4.0 International License (CC BY 4.0). To view a copy of this license, visit </w:t>
      </w:r>
      <w:hyperlink r:id="rId8" w:history="1">
        <w:r w:rsidRPr="0015349E">
          <w:rPr>
            <w:rStyle w:val="Hyperlink"/>
            <w:rFonts w:ascii="Open Sans" w:hAnsi="Open Sans" w:cs="Open Sans"/>
          </w:rPr>
          <w:t>https://creativecommons.org/licenses/by/4.0/</w:t>
        </w:r>
      </w:hyperlink>
      <w:r w:rsidRPr="0015349E">
        <w:rPr>
          <w:rFonts w:ascii="Open Sans" w:hAnsi="Open Sans" w:cs="Open Sans"/>
        </w:rPr>
        <w:t>.</w:t>
      </w:r>
    </w:p>
    <w:p w14:paraId="36725738" w14:textId="3CD66691" w:rsidR="003C5AD1" w:rsidRPr="0015349E" w:rsidRDefault="003C5AD1" w:rsidP="005D7671">
      <w:pPr>
        <w:rPr>
          <w:rFonts w:ascii="Open Sans" w:hAnsi="Open Sans" w:cs="Open Sans"/>
          <w:b/>
          <w:bCs/>
        </w:rPr>
      </w:pPr>
      <w:r w:rsidRPr="0015349E">
        <w:rPr>
          <w:rFonts w:ascii="Open Sans" w:hAnsi="Open Sans" w:cs="Open Sans"/>
          <w:b/>
          <w:bCs/>
        </w:rPr>
        <w:t>Attribution:</w:t>
      </w:r>
    </w:p>
    <w:p w14:paraId="7722B0B9" w14:textId="4BD83BF1" w:rsidR="00A627DA" w:rsidRPr="0015349E" w:rsidRDefault="00A627DA" w:rsidP="0C92300B">
      <w:pPr>
        <w:rPr>
          <w:rFonts w:ascii="Open Sans" w:eastAsiaTheme="minorEastAsia" w:hAnsi="Open Sans" w:cs="Open Sans"/>
        </w:rPr>
      </w:pPr>
      <w:r w:rsidRPr="0015349E">
        <w:rPr>
          <w:rFonts w:ascii="Open Sans" w:eastAsiaTheme="minorEastAsia" w:hAnsi="Open Sans" w:cs="Open Sans"/>
        </w:rPr>
        <w:t>Please cite as:</w:t>
      </w:r>
      <w:r w:rsidR="005D7671" w:rsidRPr="0015349E">
        <w:rPr>
          <w:rFonts w:ascii="Open Sans" w:eastAsiaTheme="minorEastAsia" w:hAnsi="Open Sans" w:cs="Open Sans"/>
        </w:rPr>
        <w:t xml:space="preserve"> </w:t>
      </w:r>
      <w:r w:rsidR="0D28497C" w:rsidRPr="0015349E">
        <w:rPr>
          <w:rFonts w:ascii="Open Sans" w:eastAsiaTheme="minorEastAsia" w:hAnsi="Open Sans" w:cs="Open Sans"/>
          <w:lang w:val="en-US"/>
        </w:rPr>
        <w:t xml:space="preserve">Woldeamanuel, A. A., Khalid, A., Anand, S., Sahar, T., Saklani, A., Sinclair-Lecaros, S., Mentis, D., Ronoh, D., &amp; Stockman, J., </w:t>
      </w:r>
      <w:r w:rsidRPr="0015349E">
        <w:rPr>
          <w:rFonts w:ascii="Open Sans" w:eastAsiaTheme="minorEastAsia" w:hAnsi="Open Sans" w:cs="Open Sans"/>
        </w:rPr>
        <w:t>202</w:t>
      </w:r>
      <w:r w:rsidR="7DE18532" w:rsidRPr="0015349E">
        <w:rPr>
          <w:rFonts w:ascii="Open Sans" w:eastAsiaTheme="minorEastAsia" w:hAnsi="Open Sans" w:cs="Open Sans"/>
        </w:rPr>
        <w:t>6</w:t>
      </w:r>
      <w:r w:rsidR="0003507A" w:rsidRPr="0015349E">
        <w:rPr>
          <w:rFonts w:ascii="Open Sans" w:eastAsiaTheme="minorEastAsia" w:hAnsi="Open Sans" w:cs="Open Sans"/>
        </w:rPr>
        <w:t>.</w:t>
      </w:r>
      <w:r w:rsidR="0009742A" w:rsidRPr="0015349E">
        <w:rPr>
          <w:rFonts w:ascii="Open Sans" w:eastAsiaTheme="minorEastAsia" w:hAnsi="Open Sans" w:cs="Open Sans"/>
        </w:rPr>
        <w:t xml:space="preserve"> Data Driven, Integrated and Inclusive Energy Planning</w:t>
      </w:r>
      <w:r w:rsidR="0003507A" w:rsidRPr="0015349E">
        <w:rPr>
          <w:rFonts w:ascii="Open Sans" w:eastAsiaTheme="minorEastAsia" w:hAnsi="Open Sans" w:cs="Open Sans"/>
        </w:rPr>
        <w:t xml:space="preserve"> with Energy Access Explorer</w:t>
      </w:r>
      <w:r w:rsidRPr="0015349E">
        <w:rPr>
          <w:rFonts w:ascii="Open Sans" w:eastAsiaTheme="minorEastAsia" w:hAnsi="Open Sans" w:cs="Open Sans"/>
        </w:rPr>
        <w:t>. Version 1. Climate Compatible Growth</w:t>
      </w:r>
      <w:r w:rsidR="008F3084" w:rsidRPr="0015349E">
        <w:rPr>
          <w:rFonts w:ascii="Open Sans" w:eastAsiaTheme="minorEastAsia" w:hAnsi="Open Sans" w:cs="Open Sans"/>
        </w:rPr>
        <w:t xml:space="preserve"> Teaching Kit Website</w:t>
      </w:r>
      <w:r w:rsidR="00470E56" w:rsidRPr="0015349E">
        <w:rPr>
          <w:rFonts w:ascii="Open Sans" w:eastAsiaTheme="minorEastAsia" w:hAnsi="Open Sans" w:cs="Open Sans"/>
        </w:rPr>
        <w:t>, Climate Compatible Growth.</w:t>
      </w:r>
    </w:p>
    <w:p w14:paraId="34806C11" w14:textId="55F1A7A1" w:rsidR="00E873B2" w:rsidRPr="0015349E" w:rsidRDefault="00324A64" w:rsidP="00324A64">
      <w:pPr>
        <w:pStyle w:val="Heading2"/>
        <w:rPr>
          <w:rFonts w:ascii="Open Sans" w:hAnsi="Open Sans" w:cs="Open Sans"/>
        </w:rPr>
      </w:pPr>
      <w:r w:rsidRPr="0015349E">
        <w:rPr>
          <w:rFonts w:ascii="Open Sans" w:hAnsi="Open Sans" w:cs="Open Sans"/>
        </w:rPr>
        <w:t>Tool:</w:t>
      </w:r>
    </w:p>
    <w:p w14:paraId="6DDF4A4F" w14:textId="5A6E6C9C" w:rsidR="00324A64" w:rsidRPr="0015349E" w:rsidRDefault="0009742A" w:rsidP="00E873B2">
      <w:pPr>
        <w:rPr>
          <w:rFonts w:ascii="Open Sans" w:hAnsi="Open Sans" w:cs="Open Sans"/>
        </w:rPr>
      </w:pPr>
      <w:r w:rsidRPr="0015349E">
        <w:rPr>
          <w:rFonts w:ascii="Open Sans" w:hAnsi="Open Sans" w:cs="Open Sans"/>
        </w:rPr>
        <w:t>Energy Access Explorer (EAE)</w:t>
      </w:r>
    </w:p>
    <w:p w14:paraId="506D13DC" w14:textId="144F3083" w:rsidR="00324A64" w:rsidRPr="0015349E" w:rsidRDefault="00A309BE" w:rsidP="00A309BE">
      <w:pPr>
        <w:pStyle w:val="Heading2"/>
        <w:rPr>
          <w:rFonts w:ascii="Open Sans" w:hAnsi="Open Sans" w:cs="Open Sans"/>
        </w:rPr>
      </w:pPr>
      <w:r w:rsidRPr="0015349E">
        <w:rPr>
          <w:rFonts w:ascii="Open Sans" w:hAnsi="Open Sans" w:cs="Open Sans"/>
        </w:rPr>
        <w:t>Aim:</w:t>
      </w:r>
    </w:p>
    <w:p w14:paraId="094C78F9" w14:textId="611F9F94" w:rsidR="0070725E" w:rsidRPr="0015349E" w:rsidRDefault="00FF4451" w:rsidP="00F8041F">
      <w:pPr>
        <w:jc w:val="both"/>
        <w:rPr>
          <w:rFonts w:ascii="Open Sans" w:hAnsi="Open Sans" w:cs="Open Sans"/>
        </w:rPr>
      </w:pPr>
      <w:r w:rsidRPr="0015349E">
        <w:rPr>
          <w:rFonts w:ascii="Open Sans" w:hAnsi="Open Sans" w:cs="Open Sans"/>
        </w:rPr>
        <w:t>T</w:t>
      </w:r>
      <w:r w:rsidR="0070725E" w:rsidRPr="0015349E">
        <w:rPr>
          <w:rFonts w:ascii="Open Sans" w:hAnsi="Open Sans" w:cs="Open Sans"/>
        </w:rPr>
        <w:t xml:space="preserve">o </w:t>
      </w:r>
      <w:r w:rsidRPr="0015349E">
        <w:rPr>
          <w:rFonts w:ascii="Open Sans" w:hAnsi="Open Sans" w:cs="Open Sans"/>
        </w:rPr>
        <w:t>enable</w:t>
      </w:r>
      <w:r w:rsidR="0070725E" w:rsidRPr="0015349E">
        <w:rPr>
          <w:rFonts w:ascii="Open Sans" w:hAnsi="Open Sans" w:cs="Open Sans"/>
        </w:rPr>
        <w:t xml:space="preserve"> </w:t>
      </w:r>
      <w:r w:rsidR="005557D4" w:rsidRPr="0015349E">
        <w:rPr>
          <w:rFonts w:ascii="Open Sans" w:hAnsi="Open Sans" w:cs="Open Sans"/>
        </w:rPr>
        <w:t>participants,</w:t>
      </w:r>
      <w:r w:rsidRPr="0015349E">
        <w:rPr>
          <w:rFonts w:ascii="Open Sans" w:hAnsi="Open Sans" w:cs="Open Sans"/>
        </w:rPr>
        <w:t xml:space="preserve"> gain </w:t>
      </w:r>
      <w:r w:rsidR="0070725E" w:rsidRPr="0015349E">
        <w:rPr>
          <w:rFonts w:ascii="Open Sans" w:hAnsi="Open Sans" w:cs="Open Sans"/>
        </w:rPr>
        <w:t>an in-depth understanding of the E</w:t>
      </w:r>
      <w:r w:rsidR="00243595" w:rsidRPr="0015349E">
        <w:rPr>
          <w:rFonts w:ascii="Open Sans" w:hAnsi="Open Sans" w:cs="Open Sans"/>
        </w:rPr>
        <w:t xml:space="preserve">nergy </w:t>
      </w:r>
      <w:r w:rsidR="0070725E" w:rsidRPr="0015349E">
        <w:rPr>
          <w:rFonts w:ascii="Open Sans" w:hAnsi="Open Sans" w:cs="Open Sans"/>
        </w:rPr>
        <w:t>A</w:t>
      </w:r>
      <w:r w:rsidR="00243595" w:rsidRPr="0015349E">
        <w:rPr>
          <w:rFonts w:ascii="Open Sans" w:hAnsi="Open Sans" w:cs="Open Sans"/>
        </w:rPr>
        <w:t xml:space="preserve">ccess </w:t>
      </w:r>
      <w:r w:rsidR="0070725E" w:rsidRPr="0015349E">
        <w:rPr>
          <w:rFonts w:ascii="Open Sans" w:hAnsi="Open Sans" w:cs="Open Sans"/>
        </w:rPr>
        <w:t>E</w:t>
      </w:r>
      <w:r w:rsidR="00243595" w:rsidRPr="0015349E">
        <w:rPr>
          <w:rFonts w:ascii="Open Sans" w:hAnsi="Open Sans" w:cs="Open Sans"/>
        </w:rPr>
        <w:t>xplorer</w:t>
      </w:r>
      <w:r w:rsidR="0070725E" w:rsidRPr="0015349E">
        <w:rPr>
          <w:rFonts w:ascii="Open Sans" w:hAnsi="Open Sans" w:cs="Open Sans"/>
        </w:rPr>
        <w:t xml:space="preserve"> platform</w:t>
      </w:r>
      <w:r w:rsidRPr="0015349E">
        <w:rPr>
          <w:rFonts w:ascii="Open Sans" w:hAnsi="Open Sans" w:cs="Open Sans"/>
        </w:rPr>
        <w:t xml:space="preserve">, </w:t>
      </w:r>
      <w:r w:rsidR="0070725E" w:rsidRPr="0015349E">
        <w:rPr>
          <w:rFonts w:ascii="Open Sans" w:hAnsi="Open Sans" w:cs="Open Sans"/>
        </w:rPr>
        <w:t>covering both its backend infrastructure and frontend interfac</w:t>
      </w:r>
      <w:r w:rsidRPr="0015349E">
        <w:rPr>
          <w:rFonts w:ascii="Open Sans" w:hAnsi="Open Sans" w:cs="Open Sans"/>
        </w:rPr>
        <w:t xml:space="preserve">e, allowing them </w:t>
      </w:r>
      <w:r w:rsidR="0070725E" w:rsidRPr="0015349E">
        <w:rPr>
          <w:rFonts w:ascii="Open Sans" w:hAnsi="Open Sans" w:cs="Open Sans"/>
        </w:rPr>
        <w:t xml:space="preserve">comprehensive navigation, management, and utilization of its geospatial capabilities </w:t>
      </w:r>
      <w:r w:rsidRPr="0015349E">
        <w:rPr>
          <w:rFonts w:ascii="Open Sans" w:hAnsi="Open Sans" w:cs="Open Sans"/>
        </w:rPr>
        <w:t>for data-driven energy access planning and impactful decision-making.</w:t>
      </w:r>
    </w:p>
    <w:p w14:paraId="6D602C6B" w14:textId="1D9504C7" w:rsidR="0070725E" w:rsidRPr="0015349E" w:rsidRDefault="00E873B2" w:rsidP="0070725E">
      <w:pPr>
        <w:pStyle w:val="Heading2"/>
        <w:rPr>
          <w:rFonts w:ascii="Open Sans" w:hAnsi="Open Sans" w:cs="Open Sans"/>
        </w:rPr>
      </w:pPr>
      <w:r w:rsidRPr="0015349E">
        <w:rPr>
          <w:rFonts w:ascii="Open Sans" w:hAnsi="Open Sans" w:cs="Open Sans"/>
        </w:rPr>
        <w:t>Summary:</w:t>
      </w:r>
    </w:p>
    <w:p w14:paraId="1A7C9D84" w14:textId="77777777" w:rsidR="00BA19B8" w:rsidRPr="0015349E" w:rsidRDefault="00BA19B8" w:rsidP="00B24869">
      <w:pPr>
        <w:jc w:val="both"/>
        <w:rPr>
          <w:rFonts w:ascii="Open Sans" w:hAnsi="Open Sans" w:cs="Open Sans"/>
        </w:rPr>
      </w:pPr>
      <w:r w:rsidRPr="0015349E">
        <w:rPr>
          <w:rFonts w:ascii="Open Sans" w:hAnsi="Open Sans" w:cs="Open Sans"/>
        </w:rPr>
        <w:t xml:space="preserve">Access to clean and reliable energy is essential for sustainable development and well-being. Yet over 675 million people lack electricity, and more than 2 billion use polluting fuels for cooking. Expanding energy access requires data-informed planning, but many stakeholders have limited access to transparent, high-quality data and tools. </w:t>
      </w:r>
    </w:p>
    <w:p w14:paraId="201A534C" w14:textId="50A1E64C" w:rsidR="00BA19B8" w:rsidRPr="0015349E" w:rsidRDefault="00BA19B8" w:rsidP="00B24869">
      <w:pPr>
        <w:jc w:val="both"/>
        <w:rPr>
          <w:rFonts w:ascii="Open Sans" w:hAnsi="Open Sans" w:cs="Open Sans"/>
        </w:rPr>
      </w:pPr>
      <w:r w:rsidRPr="0015349E">
        <w:rPr>
          <w:rFonts w:ascii="Open Sans" w:hAnsi="Open Sans" w:cs="Open Sans"/>
        </w:rPr>
        <w:t xml:space="preserve">To address this gap, WRI and its partners developed the Energy Access Explorer (EAE), the world’s first Digital Public Good for inclusive, climate-compatible energy transitions. It offers governments, businesses, and financiers an open, online, interactive geospatial platform to identify high-priority areas for energy interventions. As a dynamic information system, EAE reduces software and data transaction costs, while improving data governance. Its open-source design enables scalability at national and subnational levels. </w:t>
      </w:r>
    </w:p>
    <w:p w14:paraId="36227145" w14:textId="795DF2EB" w:rsidR="00551975" w:rsidRPr="0015349E" w:rsidRDefault="00551975" w:rsidP="00B24869">
      <w:pPr>
        <w:jc w:val="both"/>
        <w:rPr>
          <w:rFonts w:ascii="Open Sans" w:hAnsi="Open Sans" w:cs="Open Sans"/>
        </w:rPr>
      </w:pPr>
      <w:r w:rsidRPr="0015349E">
        <w:rPr>
          <w:rFonts w:ascii="Open Sans" w:hAnsi="Open Sans" w:cs="Open Sans"/>
        </w:rPr>
        <w:t xml:space="preserve">In this course, students will learn the fundamental concepts of integrated energy planning using the Energy Access Explorer (EAE) platform. They will explore the various datasets employed in geospatial energy planning and understand the GIS methods used to prepare these datasets for visualization, storage, and analysis within EAE. The course will guide students through conducting multi-criteria decision analysis, validating results, </w:t>
      </w:r>
      <w:r w:rsidRPr="0015349E">
        <w:rPr>
          <w:rFonts w:ascii="Open Sans" w:hAnsi="Open Sans" w:cs="Open Sans"/>
        </w:rPr>
        <w:lastRenderedPageBreak/>
        <w:t>and effectively communicating findings. Additionally, participants will gain hands-on experience in uploading and configuring datasets in the EAE backend, while also developing an understanding of the platform’s data governance framework and sustainability plan.</w:t>
      </w:r>
    </w:p>
    <w:p w14:paraId="3AA564BB" w14:textId="38C3B6C4" w:rsidR="00BE1355" w:rsidRPr="0015349E" w:rsidRDefault="00BE1355" w:rsidP="00B26BA5">
      <w:pPr>
        <w:jc w:val="both"/>
        <w:rPr>
          <w:rFonts w:ascii="Open Sans" w:hAnsi="Open Sans" w:cs="Open Sans"/>
        </w:rPr>
      </w:pPr>
      <w:r w:rsidRPr="0015349E">
        <w:rPr>
          <w:rFonts w:ascii="Open Sans" w:hAnsi="Open Sans" w:cs="Open Sans"/>
        </w:rPr>
        <w:t>This course uses a dynamic mix of interactive lectures, live demonstrations, and hands-on practical exercises, complemented by independent projects that allow participants to apply concepts and deepen their understanding of energy access interventions in real-world contexts.</w:t>
      </w:r>
    </w:p>
    <w:p w14:paraId="093D6E76" w14:textId="3C08A441" w:rsidR="00446FFE" w:rsidRPr="0015349E" w:rsidRDefault="00911CE6" w:rsidP="00911CE6">
      <w:pPr>
        <w:pStyle w:val="Heading2"/>
        <w:rPr>
          <w:rFonts w:ascii="Open Sans" w:hAnsi="Open Sans" w:cs="Open Sans"/>
        </w:rPr>
      </w:pPr>
      <w:r w:rsidRPr="0015349E">
        <w:rPr>
          <w:rFonts w:ascii="Open Sans" w:hAnsi="Open Sans" w:cs="Open Sans"/>
        </w:rPr>
        <w:t>Intended Learning Outcomes:</w:t>
      </w:r>
    </w:p>
    <w:p w14:paraId="008BDCC1" w14:textId="0860C638" w:rsidR="00911CE6" w:rsidRPr="0015349E" w:rsidRDefault="00206255" w:rsidP="00206255">
      <w:pPr>
        <w:pStyle w:val="ListParagraph"/>
        <w:numPr>
          <w:ilvl w:val="0"/>
          <w:numId w:val="1"/>
        </w:numPr>
        <w:rPr>
          <w:rFonts w:ascii="Open Sans" w:hAnsi="Open Sans" w:cs="Open Sans"/>
          <w:b/>
          <w:bCs/>
        </w:rPr>
      </w:pPr>
      <w:r w:rsidRPr="0015349E">
        <w:rPr>
          <w:rFonts w:ascii="Open Sans" w:hAnsi="Open Sans" w:cs="Open Sans"/>
          <w:b/>
          <w:bCs/>
        </w:rPr>
        <w:t>Knowledge and Understanding</w:t>
      </w:r>
    </w:p>
    <w:p w14:paraId="5361B269" w14:textId="7CDB223C" w:rsidR="00206255" w:rsidRPr="0015349E" w:rsidRDefault="00243595" w:rsidP="00206255">
      <w:pPr>
        <w:pStyle w:val="ListParagraph"/>
        <w:numPr>
          <w:ilvl w:val="0"/>
          <w:numId w:val="2"/>
        </w:numPr>
        <w:rPr>
          <w:rFonts w:ascii="Open Sans" w:hAnsi="Open Sans" w:cs="Open Sans"/>
        </w:rPr>
      </w:pPr>
      <w:r w:rsidRPr="0015349E">
        <w:rPr>
          <w:rFonts w:ascii="Open Sans" w:hAnsi="Open Sans" w:cs="Open Sans"/>
        </w:rPr>
        <w:t>Explain the importance of energy planning for socio-economic development</w:t>
      </w:r>
      <w:r w:rsidR="008E4617" w:rsidRPr="0015349E">
        <w:rPr>
          <w:rFonts w:ascii="Open Sans" w:hAnsi="Open Sans" w:cs="Open Sans"/>
        </w:rPr>
        <w:t>.</w:t>
      </w:r>
      <w:r w:rsidRPr="0015349E">
        <w:rPr>
          <w:rFonts w:ascii="Open Sans" w:hAnsi="Open Sans" w:cs="Open Sans"/>
        </w:rPr>
        <w:t> </w:t>
      </w:r>
    </w:p>
    <w:p w14:paraId="34083EF4" w14:textId="02A7DD22" w:rsidR="00243595" w:rsidRPr="0015349E" w:rsidRDefault="00243595" w:rsidP="00206255">
      <w:pPr>
        <w:pStyle w:val="ListParagraph"/>
        <w:numPr>
          <w:ilvl w:val="0"/>
          <w:numId w:val="2"/>
        </w:numPr>
        <w:rPr>
          <w:rFonts w:ascii="Open Sans" w:hAnsi="Open Sans" w:cs="Open Sans"/>
        </w:rPr>
      </w:pPr>
      <w:r w:rsidRPr="0015349E">
        <w:rPr>
          <w:rFonts w:ascii="Open Sans" w:hAnsi="Open Sans" w:cs="Open Sans"/>
        </w:rPr>
        <w:t>Understand the importance of integrated and inclusive energy planning</w:t>
      </w:r>
      <w:r w:rsidR="008E4617" w:rsidRPr="0015349E">
        <w:rPr>
          <w:rFonts w:ascii="Open Sans" w:hAnsi="Open Sans" w:cs="Open Sans"/>
        </w:rPr>
        <w:t>.</w:t>
      </w:r>
    </w:p>
    <w:p w14:paraId="2B4A59EC" w14:textId="6A6A14AB" w:rsidR="00243595" w:rsidRPr="0015349E" w:rsidRDefault="00243595" w:rsidP="00243595">
      <w:pPr>
        <w:pStyle w:val="ListParagraph"/>
        <w:numPr>
          <w:ilvl w:val="0"/>
          <w:numId w:val="2"/>
        </w:numPr>
        <w:rPr>
          <w:rFonts w:ascii="Open Sans" w:hAnsi="Open Sans" w:cs="Open Sans"/>
          <w:lang w:val="en-US"/>
        </w:rPr>
      </w:pPr>
      <w:r w:rsidRPr="0015349E">
        <w:rPr>
          <w:rFonts w:ascii="Open Sans" w:hAnsi="Open Sans" w:cs="Open Sans"/>
          <w:lang w:val="en-US"/>
        </w:rPr>
        <w:t>Explore the ecosystem of geospatial data and tools for strategic energy planning</w:t>
      </w:r>
      <w:r w:rsidR="008E4617" w:rsidRPr="0015349E">
        <w:rPr>
          <w:rFonts w:ascii="Open Sans" w:hAnsi="Open Sans" w:cs="Open Sans"/>
          <w:lang w:val="en-US"/>
        </w:rPr>
        <w:t>.</w:t>
      </w:r>
      <w:r w:rsidRPr="0015349E">
        <w:rPr>
          <w:rFonts w:ascii="Open Sans" w:hAnsi="Open Sans" w:cs="Open Sans"/>
          <w:lang w:val="en-US"/>
        </w:rPr>
        <w:t> </w:t>
      </w:r>
    </w:p>
    <w:p w14:paraId="3264D74A" w14:textId="6CE4099E" w:rsidR="00206255" w:rsidRPr="0015349E" w:rsidRDefault="00B13052" w:rsidP="00206255">
      <w:pPr>
        <w:pStyle w:val="ListParagraph"/>
        <w:numPr>
          <w:ilvl w:val="0"/>
          <w:numId w:val="1"/>
        </w:numPr>
        <w:rPr>
          <w:rFonts w:ascii="Open Sans" w:hAnsi="Open Sans" w:cs="Open Sans"/>
          <w:b/>
          <w:bCs/>
        </w:rPr>
      </w:pPr>
      <w:r w:rsidRPr="0015349E">
        <w:rPr>
          <w:rFonts w:ascii="Open Sans" w:hAnsi="Open Sans" w:cs="Open Sans"/>
          <w:b/>
          <w:bCs/>
        </w:rPr>
        <w:t>Subject-Specific Cognitive Skills</w:t>
      </w:r>
    </w:p>
    <w:p w14:paraId="7D3A66FA" w14:textId="7D596AFB" w:rsidR="00243595" w:rsidRPr="0015349E" w:rsidRDefault="00243595" w:rsidP="00243595">
      <w:pPr>
        <w:pStyle w:val="ListParagraph"/>
        <w:numPr>
          <w:ilvl w:val="0"/>
          <w:numId w:val="2"/>
        </w:numPr>
        <w:rPr>
          <w:rFonts w:ascii="Open Sans" w:hAnsi="Open Sans" w:cs="Open Sans"/>
          <w:lang w:val="en-US"/>
        </w:rPr>
      </w:pPr>
      <w:r w:rsidRPr="0015349E">
        <w:rPr>
          <w:rFonts w:ascii="Open Sans" w:hAnsi="Open Sans" w:cs="Open Sans"/>
          <w:lang w:val="en-US"/>
        </w:rPr>
        <w:t xml:space="preserve">Understand the key aspects, </w:t>
      </w:r>
      <w:r w:rsidR="00DF59A3" w:rsidRPr="0015349E">
        <w:rPr>
          <w:rFonts w:ascii="Open Sans" w:hAnsi="Open Sans" w:cs="Open Sans"/>
          <w:lang w:val="en-US"/>
        </w:rPr>
        <w:t xml:space="preserve">functionalities, structure, </w:t>
      </w:r>
      <w:r w:rsidRPr="0015349E">
        <w:rPr>
          <w:rFonts w:ascii="Open Sans" w:hAnsi="Open Sans" w:cs="Open Sans"/>
          <w:lang w:val="en-US"/>
        </w:rPr>
        <w:t>uses and contributions of Energy Access Explorer</w:t>
      </w:r>
      <w:r w:rsidR="008E4617" w:rsidRPr="0015349E">
        <w:rPr>
          <w:rFonts w:ascii="Open Sans" w:hAnsi="Open Sans" w:cs="Open Sans"/>
          <w:lang w:val="en-US"/>
        </w:rPr>
        <w:t>.</w:t>
      </w:r>
    </w:p>
    <w:p w14:paraId="027A5CD9" w14:textId="1186D9AD" w:rsidR="00243595" w:rsidRPr="0015349E" w:rsidRDefault="00243595" w:rsidP="00243595">
      <w:pPr>
        <w:pStyle w:val="ListParagraph"/>
        <w:numPr>
          <w:ilvl w:val="0"/>
          <w:numId w:val="2"/>
        </w:numPr>
        <w:rPr>
          <w:rFonts w:ascii="Open Sans" w:hAnsi="Open Sans" w:cs="Open Sans"/>
          <w:lang w:val="en-US"/>
        </w:rPr>
      </w:pPr>
      <w:r w:rsidRPr="0015349E">
        <w:rPr>
          <w:rFonts w:ascii="Open Sans" w:hAnsi="Open Sans" w:cs="Open Sans"/>
          <w:lang w:val="en-US"/>
        </w:rPr>
        <w:t xml:space="preserve">Describe the basic </w:t>
      </w:r>
      <w:r w:rsidR="003E6F28" w:rsidRPr="0015349E">
        <w:rPr>
          <w:rFonts w:ascii="Open Sans" w:hAnsi="Open Sans" w:cs="Open Sans"/>
          <w:lang w:val="en-US"/>
        </w:rPr>
        <w:t xml:space="preserve">GIS </w:t>
      </w:r>
      <w:r w:rsidRPr="0015349E">
        <w:rPr>
          <w:rFonts w:ascii="Open Sans" w:hAnsi="Open Sans" w:cs="Open Sans"/>
          <w:lang w:val="en-US"/>
        </w:rPr>
        <w:t>datasets</w:t>
      </w:r>
      <w:r w:rsidR="003E6F28" w:rsidRPr="0015349E">
        <w:rPr>
          <w:rFonts w:ascii="Open Sans" w:eastAsia="Arial" w:hAnsi="Open Sans" w:cs="Open Sans"/>
          <w:color w:val="000000" w:themeColor="text1"/>
          <w:kern w:val="24"/>
        </w:rPr>
        <w:t xml:space="preserve"> formats and their </w:t>
      </w:r>
      <w:r w:rsidR="003E6F28" w:rsidRPr="0015349E">
        <w:rPr>
          <w:rFonts w:ascii="Open Sans" w:hAnsi="Open Sans" w:cs="Open Sans"/>
        </w:rPr>
        <w:t>characteristics</w:t>
      </w:r>
      <w:r w:rsidR="003E6F28" w:rsidRPr="0015349E">
        <w:rPr>
          <w:rFonts w:ascii="Open Sans" w:hAnsi="Open Sans" w:cs="Open Sans"/>
          <w:lang w:val="en-US"/>
        </w:rPr>
        <w:t xml:space="preserve"> </w:t>
      </w:r>
      <w:r w:rsidRPr="0015349E">
        <w:rPr>
          <w:rFonts w:ascii="Open Sans" w:hAnsi="Open Sans" w:cs="Open Sans"/>
          <w:lang w:val="en-US"/>
        </w:rPr>
        <w:t>used in EAE</w:t>
      </w:r>
      <w:r w:rsidR="003E6F28" w:rsidRPr="0015349E">
        <w:rPr>
          <w:rFonts w:ascii="Open Sans" w:hAnsi="Open Sans" w:cs="Open Sans"/>
        </w:rPr>
        <w:t xml:space="preserve"> in the form of vector, raster, and tabular data types</w:t>
      </w:r>
      <w:r w:rsidR="008E4617" w:rsidRPr="0015349E">
        <w:rPr>
          <w:rFonts w:ascii="Open Sans" w:hAnsi="Open Sans" w:cs="Open Sans"/>
        </w:rPr>
        <w:t>.</w:t>
      </w:r>
      <w:r w:rsidRPr="0015349E">
        <w:rPr>
          <w:rFonts w:ascii="Open Sans" w:hAnsi="Open Sans" w:cs="Open Sans"/>
          <w:lang w:val="en-US"/>
        </w:rPr>
        <w:t xml:space="preserve"> </w:t>
      </w:r>
    </w:p>
    <w:p w14:paraId="2B48994B" w14:textId="1539CD74" w:rsidR="00243595" w:rsidRPr="0015349E" w:rsidRDefault="00243595" w:rsidP="00243595">
      <w:pPr>
        <w:pStyle w:val="ListParagraph"/>
        <w:numPr>
          <w:ilvl w:val="0"/>
          <w:numId w:val="2"/>
        </w:numPr>
        <w:rPr>
          <w:rFonts w:ascii="Open Sans" w:hAnsi="Open Sans" w:cs="Open Sans"/>
          <w:lang w:val="en-US"/>
        </w:rPr>
      </w:pPr>
      <w:r w:rsidRPr="0015349E">
        <w:rPr>
          <w:rFonts w:ascii="Open Sans" w:hAnsi="Open Sans" w:cs="Open Sans"/>
          <w:lang w:val="en-US"/>
        </w:rPr>
        <w:t>Explore the multi-criteria analysis method applied to identify areas for energy interventions using four indices</w:t>
      </w:r>
      <w:r w:rsidR="008E4617" w:rsidRPr="0015349E">
        <w:rPr>
          <w:rFonts w:ascii="Open Sans" w:hAnsi="Open Sans" w:cs="Open Sans"/>
          <w:lang w:val="en-US"/>
        </w:rPr>
        <w:t>.</w:t>
      </w:r>
    </w:p>
    <w:p w14:paraId="4E5E1885" w14:textId="6DA90299" w:rsidR="002E33E5" w:rsidRPr="0015349E" w:rsidRDefault="002E33E5" w:rsidP="002E33E5">
      <w:pPr>
        <w:pStyle w:val="ListParagraph"/>
        <w:numPr>
          <w:ilvl w:val="0"/>
          <w:numId w:val="1"/>
        </w:numPr>
        <w:rPr>
          <w:rFonts w:ascii="Open Sans" w:hAnsi="Open Sans" w:cs="Open Sans"/>
          <w:b/>
          <w:bCs/>
        </w:rPr>
      </w:pPr>
      <w:r w:rsidRPr="0015349E">
        <w:rPr>
          <w:rFonts w:ascii="Open Sans" w:hAnsi="Open Sans" w:cs="Open Sans"/>
          <w:b/>
          <w:bCs/>
        </w:rPr>
        <w:t>Subject-Specific Practical Skills</w:t>
      </w:r>
    </w:p>
    <w:p w14:paraId="19216BC7" w14:textId="1566C147" w:rsidR="00046368" w:rsidRPr="0015349E" w:rsidRDefault="00046368" w:rsidP="002E33E5">
      <w:pPr>
        <w:pStyle w:val="ListParagraph"/>
        <w:numPr>
          <w:ilvl w:val="0"/>
          <w:numId w:val="2"/>
        </w:numPr>
        <w:rPr>
          <w:rFonts w:ascii="Open Sans" w:hAnsi="Open Sans" w:cs="Open Sans"/>
        </w:rPr>
      </w:pPr>
      <w:r w:rsidRPr="0015349E">
        <w:rPr>
          <w:rFonts w:ascii="Open Sans" w:hAnsi="Open Sans" w:cs="Open Sans"/>
        </w:rPr>
        <w:t xml:space="preserve">Collect, </w:t>
      </w:r>
      <w:r w:rsidR="003E6F28" w:rsidRPr="0015349E">
        <w:rPr>
          <w:rFonts w:ascii="Open Sans" w:hAnsi="Open Sans" w:cs="Open Sans"/>
        </w:rPr>
        <w:t>clean</w:t>
      </w:r>
      <w:r w:rsidRPr="0015349E">
        <w:rPr>
          <w:rFonts w:ascii="Open Sans" w:hAnsi="Open Sans" w:cs="Open Sans"/>
        </w:rPr>
        <w:t xml:space="preserve">, and </w:t>
      </w:r>
      <w:r w:rsidR="003E6F28" w:rsidRPr="0015349E">
        <w:rPr>
          <w:rFonts w:ascii="Open Sans" w:hAnsi="Open Sans" w:cs="Open Sans"/>
        </w:rPr>
        <w:t>pre-</w:t>
      </w:r>
      <w:r w:rsidRPr="0015349E">
        <w:rPr>
          <w:rFonts w:ascii="Open Sans" w:hAnsi="Open Sans" w:cs="Open Sans"/>
        </w:rPr>
        <w:t>process the</w:t>
      </w:r>
      <w:r w:rsidR="009448B7" w:rsidRPr="0015349E">
        <w:rPr>
          <w:rFonts w:ascii="Open Sans" w:hAnsi="Open Sans" w:cs="Open Sans"/>
        </w:rPr>
        <w:t xml:space="preserve"> </w:t>
      </w:r>
      <w:r w:rsidRPr="0015349E">
        <w:rPr>
          <w:rFonts w:ascii="Open Sans" w:hAnsi="Open Sans" w:cs="Open Sans"/>
        </w:rPr>
        <w:t xml:space="preserve">data </w:t>
      </w:r>
      <w:r w:rsidR="003E6F28" w:rsidRPr="0015349E">
        <w:rPr>
          <w:rFonts w:ascii="Open Sans" w:hAnsi="Open Sans" w:cs="Open Sans"/>
        </w:rPr>
        <w:t>to make them suitable for EAE backend uploading</w:t>
      </w:r>
      <w:r w:rsidR="008E4617" w:rsidRPr="0015349E">
        <w:rPr>
          <w:rFonts w:ascii="Open Sans" w:hAnsi="Open Sans" w:cs="Open Sans"/>
        </w:rPr>
        <w:t>.</w:t>
      </w:r>
    </w:p>
    <w:p w14:paraId="34C36EA3" w14:textId="658BA910" w:rsidR="003E6F28" w:rsidRPr="0015349E" w:rsidRDefault="003E6F28" w:rsidP="00046368">
      <w:pPr>
        <w:pStyle w:val="ListParagraph"/>
        <w:numPr>
          <w:ilvl w:val="0"/>
          <w:numId w:val="2"/>
        </w:numPr>
        <w:rPr>
          <w:rFonts w:ascii="Open Sans" w:hAnsi="Open Sans" w:cs="Open Sans"/>
        </w:rPr>
      </w:pPr>
      <w:r w:rsidRPr="0015349E">
        <w:rPr>
          <w:rFonts w:ascii="Open Sans" w:hAnsi="Open Sans" w:cs="Open Sans"/>
        </w:rPr>
        <w:t>Integrate and configure pre-processed data in</w:t>
      </w:r>
      <w:r w:rsidR="00DF59A3" w:rsidRPr="0015349E">
        <w:rPr>
          <w:rFonts w:ascii="Open Sans" w:hAnsi="Open Sans" w:cs="Open Sans"/>
        </w:rPr>
        <w:t>to</w:t>
      </w:r>
      <w:r w:rsidRPr="0015349E">
        <w:rPr>
          <w:rFonts w:ascii="Open Sans" w:hAnsi="Open Sans" w:cs="Open Sans"/>
        </w:rPr>
        <w:t xml:space="preserve"> the Content Management System for </w:t>
      </w:r>
      <w:r w:rsidR="00DF59A3" w:rsidRPr="0015349E">
        <w:rPr>
          <w:rFonts w:ascii="Open Sans" w:hAnsi="Open Sans" w:cs="Open Sans"/>
        </w:rPr>
        <w:t>deployment in the frontend of the EAE platform</w:t>
      </w:r>
      <w:r w:rsidR="008E4617" w:rsidRPr="0015349E">
        <w:rPr>
          <w:rFonts w:ascii="Open Sans" w:hAnsi="Open Sans" w:cs="Open Sans"/>
        </w:rPr>
        <w:t>.</w:t>
      </w:r>
    </w:p>
    <w:p w14:paraId="24411B25" w14:textId="39E1C76B" w:rsidR="00DF59A3" w:rsidRPr="0015349E" w:rsidRDefault="00DF59A3" w:rsidP="00DF59A3">
      <w:pPr>
        <w:pStyle w:val="ListParagraph"/>
        <w:numPr>
          <w:ilvl w:val="0"/>
          <w:numId w:val="2"/>
        </w:numPr>
        <w:rPr>
          <w:rFonts w:ascii="Open Sans" w:hAnsi="Open Sans" w:cs="Open Sans"/>
          <w:lang w:val="en-US"/>
        </w:rPr>
      </w:pPr>
      <w:r w:rsidRPr="0015349E">
        <w:rPr>
          <w:rFonts w:ascii="Open Sans" w:hAnsi="Open Sans" w:cs="Open Sans"/>
          <w:lang w:val="en-US"/>
        </w:rPr>
        <w:t>Conduct multi-criteria analysis in the EAE frontend based on different scenarios and export the analysis results for generating reports and presentations</w:t>
      </w:r>
      <w:r w:rsidR="008E4617" w:rsidRPr="0015349E">
        <w:rPr>
          <w:rFonts w:ascii="Open Sans" w:hAnsi="Open Sans" w:cs="Open Sans"/>
          <w:lang w:val="en-US"/>
        </w:rPr>
        <w:t>.</w:t>
      </w:r>
    </w:p>
    <w:p w14:paraId="458CB653" w14:textId="10345128" w:rsidR="651274DF" w:rsidRPr="0015349E" w:rsidRDefault="651274DF" w:rsidP="0C92300B">
      <w:pPr>
        <w:pStyle w:val="ListParagraph"/>
        <w:numPr>
          <w:ilvl w:val="0"/>
          <w:numId w:val="2"/>
        </w:numPr>
        <w:rPr>
          <w:rFonts w:ascii="Open Sans" w:hAnsi="Open Sans" w:cs="Open Sans"/>
          <w:lang w:val="en-US"/>
        </w:rPr>
      </w:pPr>
      <w:r w:rsidRPr="0015349E">
        <w:rPr>
          <w:rFonts w:ascii="Open Sans" w:hAnsi="Open Sans" w:cs="Open Sans"/>
          <w:lang w:val="en-US"/>
        </w:rPr>
        <w:t>Soft link EAE with other geospatial modelling tools such as OnSSE</w:t>
      </w:r>
      <w:r w:rsidR="38CE1B27" w:rsidRPr="0015349E">
        <w:rPr>
          <w:rFonts w:ascii="Open Sans" w:hAnsi="Open Sans" w:cs="Open Sans"/>
          <w:lang w:val="en-US"/>
        </w:rPr>
        <w:t>T and OnStove to facilitate integrated energy planning for electricity and clean cook</w:t>
      </w:r>
      <w:r w:rsidR="06D7D565" w:rsidRPr="0015349E">
        <w:rPr>
          <w:rFonts w:ascii="Open Sans" w:hAnsi="Open Sans" w:cs="Open Sans"/>
          <w:lang w:val="en-US"/>
        </w:rPr>
        <w:t>ing solutions</w:t>
      </w:r>
      <w:r w:rsidR="38CE1B27" w:rsidRPr="0015349E">
        <w:rPr>
          <w:rFonts w:ascii="Open Sans" w:hAnsi="Open Sans" w:cs="Open Sans"/>
          <w:lang w:val="en-US"/>
        </w:rPr>
        <w:t xml:space="preserve"> </w:t>
      </w:r>
    </w:p>
    <w:p w14:paraId="378333E6" w14:textId="6A2F9F25" w:rsidR="00046368" w:rsidRPr="0015349E" w:rsidRDefault="00046368" w:rsidP="00046368">
      <w:pPr>
        <w:pStyle w:val="ListParagraph"/>
        <w:numPr>
          <w:ilvl w:val="0"/>
          <w:numId w:val="1"/>
        </w:numPr>
        <w:rPr>
          <w:rFonts w:ascii="Open Sans" w:hAnsi="Open Sans" w:cs="Open Sans"/>
          <w:b/>
          <w:bCs/>
        </w:rPr>
      </w:pPr>
      <w:r w:rsidRPr="0015349E">
        <w:rPr>
          <w:rFonts w:ascii="Open Sans" w:hAnsi="Open Sans" w:cs="Open Sans"/>
          <w:b/>
          <w:bCs/>
        </w:rPr>
        <w:t>Key Transferable Skills</w:t>
      </w:r>
    </w:p>
    <w:p w14:paraId="226CEBFD" w14:textId="442E48F2" w:rsidR="00813319" w:rsidRPr="0015349E" w:rsidRDefault="005557D4" w:rsidP="00046368">
      <w:pPr>
        <w:pStyle w:val="ListParagraph"/>
        <w:numPr>
          <w:ilvl w:val="0"/>
          <w:numId w:val="2"/>
        </w:numPr>
        <w:rPr>
          <w:rFonts w:ascii="Open Sans" w:hAnsi="Open Sans" w:cs="Open Sans"/>
        </w:rPr>
      </w:pPr>
      <w:r w:rsidRPr="0015349E">
        <w:rPr>
          <w:rFonts w:ascii="Open Sans" w:eastAsia="Times New Roman" w:hAnsi="Open Sans" w:cs="Open Sans"/>
          <w:color w:val="191919"/>
        </w:rPr>
        <w:t xml:space="preserve">Enhance your ability to leverage </w:t>
      </w:r>
      <w:r w:rsidR="000A3917" w:rsidRPr="0015349E">
        <w:rPr>
          <w:rFonts w:ascii="Open Sans" w:eastAsia="Times New Roman" w:hAnsi="Open Sans" w:cs="Open Sans"/>
          <w:color w:val="191919"/>
        </w:rPr>
        <w:t xml:space="preserve">EAE’s </w:t>
      </w:r>
      <w:r w:rsidRPr="0015349E">
        <w:rPr>
          <w:rFonts w:ascii="Open Sans" w:eastAsia="Times New Roman" w:hAnsi="Open Sans" w:cs="Open Sans"/>
          <w:color w:val="191919"/>
        </w:rPr>
        <w:t>geospatial capabilities for energy systems modelling</w:t>
      </w:r>
    </w:p>
    <w:p w14:paraId="37A19BD3" w14:textId="3EB14741" w:rsidR="00E57894" w:rsidRPr="0015349E" w:rsidRDefault="00E57894" w:rsidP="00046368">
      <w:pPr>
        <w:pStyle w:val="ListParagraph"/>
        <w:numPr>
          <w:ilvl w:val="0"/>
          <w:numId w:val="2"/>
        </w:numPr>
        <w:rPr>
          <w:rFonts w:ascii="Open Sans" w:hAnsi="Open Sans" w:cs="Open Sans"/>
        </w:rPr>
      </w:pPr>
      <w:r w:rsidRPr="0015349E">
        <w:rPr>
          <w:rFonts w:ascii="Open Sans" w:hAnsi="Open Sans" w:cs="Open Sans"/>
        </w:rPr>
        <w:t xml:space="preserve">Use </w:t>
      </w:r>
      <w:r w:rsidR="008E4617" w:rsidRPr="0015349E">
        <w:rPr>
          <w:rFonts w:ascii="Open Sans" w:hAnsi="Open Sans" w:cs="Open Sans"/>
        </w:rPr>
        <w:t>EAE’s spatial multi-criteria analysis</w:t>
      </w:r>
      <w:r w:rsidRPr="0015349E">
        <w:rPr>
          <w:rFonts w:ascii="Open Sans" w:hAnsi="Open Sans" w:cs="Open Sans"/>
        </w:rPr>
        <w:t xml:space="preserve"> to support </w:t>
      </w:r>
      <w:r w:rsidR="008E4617" w:rsidRPr="0015349E">
        <w:rPr>
          <w:rFonts w:ascii="Open Sans" w:hAnsi="Open Sans" w:cs="Open Sans"/>
        </w:rPr>
        <w:t xml:space="preserve">the identification of energy intervention areas for decision </w:t>
      </w:r>
      <w:r w:rsidR="005557D4" w:rsidRPr="0015349E">
        <w:rPr>
          <w:rFonts w:ascii="Open Sans" w:hAnsi="Open Sans" w:cs="Open Sans"/>
        </w:rPr>
        <w:t>makers</w:t>
      </w:r>
      <w:r w:rsidRPr="0015349E">
        <w:rPr>
          <w:rFonts w:ascii="Open Sans" w:hAnsi="Open Sans" w:cs="Open Sans"/>
        </w:rPr>
        <w:t>.</w:t>
      </w:r>
    </w:p>
    <w:p w14:paraId="0862EB01" w14:textId="35EF088F" w:rsidR="00DF59A3" w:rsidRPr="0015349E" w:rsidRDefault="00DF59A3" w:rsidP="00046368">
      <w:pPr>
        <w:pStyle w:val="ListParagraph"/>
        <w:numPr>
          <w:ilvl w:val="0"/>
          <w:numId w:val="2"/>
        </w:numPr>
        <w:rPr>
          <w:rFonts w:ascii="Open Sans" w:hAnsi="Open Sans" w:cs="Open Sans"/>
        </w:rPr>
      </w:pPr>
      <w:r w:rsidRPr="0015349E">
        <w:rPr>
          <w:rFonts w:ascii="Open Sans" w:hAnsi="Open Sans" w:cs="Open Sans"/>
        </w:rPr>
        <w:t>Design and implement effective data governance system for the adoption and sustainability of EAE in a country</w:t>
      </w:r>
      <w:r w:rsidR="008E4617" w:rsidRPr="0015349E">
        <w:rPr>
          <w:rFonts w:ascii="Open Sans" w:hAnsi="Open Sans" w:cs="Open Sans"/>
        </w:rPr>
        <w:t>.</w:t>
      </w:r>
    </w:p>
    <w:p w14:paraId="5C784706" w14:textId="6F2CBD32" w:rsidR="00BE0AEC" w:rsidRPr="0015349E" w:rsidRDefault="00BE0AEC" w:rsidP="00DC6A8B">
      <w:pPr>
        <w:pStyle w:val="Heading2"/>
        <w:rPr>
          <w:rFonts w:ascii="Open Sans" w:hAnsi="Open Sans" w:cs="Open Sans"/>
        </w:rPr>
      </w:pPr>
      <w:r w:rsidRPr="0015349E">
        <w:rPr>
          <w:rFonts w:ascii="Open Sans" w:hAnsi="Open Sans" w:cs="Open Sans"/>
        </w:rPr>
        <w:lastRenderedPageBreak/>
        <w:t>Student Experience Level</w:t>
      </w:r>
    </w:p>
    <w:p w14:paraId="51968B23" w14:textId="18D5EE77" w:rsidR="00BE0AEC" w:rsidRPr="0015349E" w:rsidRDefault="008E59E3" w:rsidP="00BE0AEC">
      <w:pPr>
        <w:rPr>
          <w:rFonts w:ascii="Open Sans" w:hAnsi="Open Sans" w:cs="Open Sans"/>
        </w:rPr>
      </w:pPr>
      <w:r w:rsidRPr="0015349E">
        <w:rPr>
          <w:rFonts w:ascii="Open Sans" w:hAnsi="Open Sans" w:cs="Open Sans"/>
        </w:rPr>
        <w:t xml:space="preserve">None – No prior experience in </w:t>
      </w:r>
      <w:r w:rsidR="00243595" w:rsidRPr="0015349E">
        <w:rPr>
          <w:rFonts w:ascii="Open Sans" w:hAnsi="Open Sans" w:cs="Open Sans"/>
        </w:rPr>
        <w:t>EAE</w:t>
      </w:r>
      <w:r w:rsidRPr="0015349E">
        <w:rPr>
          <w:rFonts w:ascii="Open Sans" w:hAnsi="Open Sans" w:cs="Open Sans"/>
        </w:rPr>
        <w:t xml:space="preserve"> or energy modelling more generally required, full introduc</w:t>
      </w:r>
      <w:r w:rsidR="00F148CE" w:rsidRPr="0015349E">
        <w:rPr>
          <w:rFonts w:ascii="Open Sans" w:hAnsi="Open Sans" w:cs="Open Sans"/>
        </w:rPr>
        <w:t>tory instruction provided.</w:t>
      </w:r>
      <w:r w:rsidR="00243595" w:rsidRPr="0015349E">
        <w:rPr>
          <w:rFonts w:ascii="Open Sans" w:hAnsi="Open Sans" w:cs="Open Sans"/>
        </w:rPr>
        <w:t xml:space="preserve"> </w:t>
      </w:r>
    </w:p>
    <w:p w14:paraId="63108D63" w14:textId="1CEA1D71" w:rsidR="00A4585A" w:rsidRPr="0015349E" w:rsidRDefault="00DC6A8B" w:rsidP="00DC6A8B">
      <w:pPr>
        <w:pStyle w:val="Heading2"/>
        <w:rPr>
          <w:rFonts w:ascii="Open Sans" w:hAnsi="Open Sans" w:cs="Open Sans"/>
        </w:rPr>
      </w:pPr>
      <w:r w:rsidRPr="0015349E">
        <w:rPr>
          <w:rFonts w:ascii="Open Sans" w:hAnsi="Open Sans" w:cs="Open Sans"/>
        </w:rPr>
        <w:t>Course Duration</w:t>
      </w:r>
    </w:p>
    <w:p w14:paraId="118B4351" w14:textId="629E2522" w:rsidR="00DC6A8B" w:rsidRPr="0015349E" w:rsidRDefault="00DC6A8B" w:rsidP="00DC6A8B">
      <w:pPr>
        <w:pStyle w:val="ListParagraph"/>
        <w:numPr>
          <w:ilvl w:val="0"/>
          <w:numId w:val="2"/>
        </w:numPr>
        <w:rPr>
          <w:rFonts w:ascii="Open Sans" w:hAnsi="Open Sans" w:cs="Open Sans"/>
        </w:rPr>
      </w:pPr>
      <w:r w:rsidRPr="0015349E">
        <w:rPr>
          <w:rFonts w:ascii="Open Sans" w:hAnsi="Open Sans" w:cs="Open Sans"/>
        </w:rPr>
        <w:t>Total student effort:</w:t>
      </w:r>
      <w:r w:rsidR="00396D29" w:rsidRPr="0015349E">
        <w:rPr>
          <w:rFonts w:ascii="Open Sans" w:hAnsi="Open Sans" w:cs="Open Sans"/>
        </w:rPr>
        <w:t xml:space="preserve"> </w:t>
      </w:r>
      <w:r w:rsidR="001B546D" w:rsidRPr="0015349E">
        <w:rPr>
          <w:rFonts w:ascii="Open Sans" w:hAnsi="Open Sans" w:cs="Open Sans"/>
        </w:rPr>
        <w:t>95</w:t>
      </w:r>
      <w:r w:rsidR="009B5960" w:rsidRPr="0015349E">
        <w:rPr>
          <w:rFonts w:ascii="Open Sans" w:hAnsi="Open Sans" w:cs="Open Sans"/>
        </w:rPr>
        <w:t xml:space="preserve"> hrs</w:t>
      </w:r>
    </w:p>
    <w:p w14:paraId="2EE316FE" w14:textId="768A2726" w:rsidR="00DC6A8B" w:rsidRPr="0015349E" w:rsidRDefault="00DC6A8B" w:rsidP="00DC6A8B">
      <w:pPr>
        <w:pStyle w:val="ListParagraph"/>
        <w:numPr>
          <w:ilvl w:val="0"/>
          <w:numId w:val="2"/>
        </w:numPr>
        <w:rPr>
          <w:rFonts w:ascii="Open Sans" w:hAnsi="Open Sans" w:cs="Open Sans"/>
        </w:rPr>
      </w:pPr>
      <w:r w:rsidRPr="0015349E">
        <w:rPr>
          <w:rFonts w:ascii="Open Sans" w:hAnsi="Open Sans" w:cs="Open Sans"/>
        </w:rPr>
        <w:t>Total class time:</w:t>
      </w:r>
      <w:r w:rsidR="00396D29" w:rsidRPr="0015349E">
        <w:rPr>
          <w:rFonts w:ascii="Open Sans" w:hAnsi="Open Sans" w:cs="Open Sans"/>
        </w:rPr>
        <w:t xml:space="preserve"> </w:t>
      </w:r>
      <w:r w:rsidR="001B546D" w:rsidRPr="0015349E">
        <w:rPr>
          <w:rFonts w:ascii="Open Sans" w:hAnsi="Open Sans" w:cs="Open Sans"/>
        </w:rPr>
        <w:t>15</w:t>
      </w:r>
      <w:r w:rsidR="00A80BDE" w:rsidRPr="0015349E">
        <w:rPr>
          <w:rFonts w:ascii="Open Sans" w:hAnsi="Open Sans" w:cs="Open Sans"/>
        </w:rPr>
        <w:t xml:space="preserve"> hrs</w:t>
      </w:r>
      <w:r w:rsidR="00EC61B9" w:rsidRPr="0015349E">
        <w:rPr>
          <w:rFonts w:ascii="Open Sans" w:hAnsi="Open Sans" w:cs="Open Sans"/>
        </w:rPr>
        <w:t xml:space="preserve"> </w:t>
      </w:r>
    </w:p>
    <w:p w14:paraId="0820BE0F" w14:textId="116199DB" w:rsidR="00641F85" w:rsidRPr="0015349E" w:rsidRDefault="00641F85" w:rsidP="00641F85">
      <w:pPr>
        <w:pStyle w:val="ListParagraph"/>
        <w:numPr>
          <w:ilvl w:val="1"/>
          <w:numId w:val="2"/>
        </w:numPr>
        <w:rPr>
          <w:rFonts w:ascii="Open Sans" w:hAnsi="Open Sans" w:cs="Open Sans"/>
        </w:rPr>
      </w:pPr>
      <w:r w:rsidRPr="0015349E">
        <w:rPr>
          <w:rFonts w:ascii="Open Sans" w:hAnsi="Open Sans" w:cs="Open Sans"/>
        </w:rPr>
        <w:t>Lectures:</w:t>
      </w:r>
      <w:r w:rsidR="00A80BDE" w:rsidRPr="0015349E">
        <w:rPr>
          <w:rFonts w:ascii="Open Sans" w:hAnsi="Open Sans" w:cs="Open Sans"/>
        </w:rPr>
        <w:t xml:space="preserve"> </w:t>
      </w:r>
      <w:r w:rsidR="001B546D" w:rsidRPr="0015349E">
        <w:rPr>
          <w:rFonts w:ascii="Open Sans" w:hAnsi="Open Sans" w:cs="Open Sans"/>
        </w:rPr>
        <w:t>6</w:t>
      </w:r>
      <w:r w:rsidR="009B5960" w:rsidRPr="0015349E">
        <w:rPr>
          <w:rFonts w:ascii="Open Sans" w:hAnsi="Open Sans" w:cs="Open Sans"/>
        </w:rPr>
        <w:t xml:space="preserve"> hrs</w:t>
      </w:r>
    </w:p>
    <w:p w14:paraId="008AC909" w14:textId="77E27217" w:rsidR="00641F85" w:rsidRPr="0015349E" w:rsidRDefault="00641F85" w:rsidP="00641F85">
      <w:pPr>
        <w:pStyle w:val="ListParagraph"/>
        <w:numPr>
          <w:ilvl w:val="1"/>
          <w:numId w:val="2"/>
        </w:numPr>
        <w:rPr>
          <w:rFonts w:ascii="Open Sans" w:hAnsi="Open Sans" w:cs="Open Sans"/>
        </w:rPr>
      </w:pPr>
      <w:r w:rsidRPr="0015349E">
        <w:rPr>
          <w:rFonts w:ascii="Open Sans" w:hAnsi="Open Sans" w:cs="Open Sans"/>
        </w:rPr>
        <w:t>Labs/hands on exercises:</w:t>
      </w:r>
      <w:r w:rsidR="009B5960" w:rsidRPr="0015349E">
        <w:rPr>
          <w:rFonts w:ascii="Open Sans" w:hAnsi="Open Sans" w:cs="Open Sans"/>
        </w:rPr>
        <w:t xml:space="preserve"> </w:t>
      </w:r>
      <w:r w:rsidR="001B546D" w:rsidRPr="0015349E">
        <w:rPr>
          <w:rFonts w:ascii="Open Sans" w:hAnsi="Open Sans" w:cs="Open Sans"/>
        </w:rPr>
        <w:t>9</w:t>
      </w:r>
      <w:r w:rsidR="009B5960" w:rsidRPr="0015349E">
        <w:rPr>
          <w:rFonts w:ascii="Open Sans" w:hAnsi="Open Sans" w:cs="Open Sans"/>
        </w:rPr>
        <w:t xml:space="preserve"> hrs</w:t>
      </w:r>
    </w:p>
    <w:p w14:paraId="302E2941" w14:textId="211CCEBF" w:rsidR="009B5960" w:rsidRPr="0015349E" w:rsidRDefault="009B5960" w:rsidP="009B5960">
      <w:pPr>
        <w:pStyle w:val="ListParagraph"/>
        <w:numPr>
          <w:ilvl w:val="0"/>
          <w:numId w:val="2"/>
        </w:numPr>
        <w:rPr>
          <w:rFonts w:ascii="Open Sans" w:hAnsi="Open Sans" w:cs="Open Sans"/>
        </w:rPr>
      </w:pPr>
      <w:r w:rsidRPr="0015349E">
        <w:rPr>
          <w:rFonts w:ascii="Open Sans" w:hAnsi="Open Sans" w:cs="Open Sans"/>
        </w:rPr>
        <w:t xml:space="preserve">Total </w:t>
      </w:r>
      <w:r w:rsidR="00027E8F" w:rsidRPr="0015349E">
        <w:rPr>
          <w:rFonts w:ascii="Open Sans" w:hAnsi="Open Sans" w:cs="Open Sans"/>
        </w:rPr>
        <w:t xml:space="preserve">project time: </w:t>
      </w:r>
      <w:r w:rsidR="002D38F2" w:rsidRPr="0015349E">
        <w:rPr>
          <w:rFonts w:ascii="Open Sans" w:hAnsi="Open Sans" w:cs="Open Sans"/>
        </w:rPr>
        <w:t>8</w:t>
      </w:r>
      <w:r w:rsidR="00027E8F" w:rsidRPr="0015349E">
        <w:rPr>
          <w:rFonts w:ascii="Open Sans" w:hAnsi="Open Sans" w:cs="Open Sans"/>
        </w:rPr>
        <w:t>0 hrs</w:t>
      </w:r>
    </w:p>
    <w:p w14:paraId="5D3D0DA8" w14:textId="36C9FD0E" w:rsidR="00641F85" w:rsidRPr="0015349E" w:rsidRDefault="00D645C2" w:rsidP="00D645C2">
      <w:pPr>
        <w:pStyle w:val="Heading2"/>
        <w:rPr>
          <w:rFonts w:ascii="Open Sans" w:hAnsi="Open Sans" w:cs="Open Sans"/>
        </w:rPr>
      </w:pPr>
      <w:r w:rsidRPr="0015349E">
        <w:rPr>
          <w:rFonts w:ascii="Open Sans" w:hAnsi="Open Sans" w:cs="Open Sans"/>
        </w:rPr>
        <w:t>Assessment Details</w:t>
      </w:r>
    </w:p>
    <w:p w14:paraId="0BDFE7D2" w14:textId="0164DDDA" w:rsidR="00D645C2" w:rsidRPr="0015349E" w:rsidRDefault="009A5A2D" w:rsidP="00D645C2">
      <w:pPr>
        <w:rPr>
          <w:rFonts w:ascii="Open Sans" w:hAnsi="Open Sans" w:cs="Open Sans"/>
        </w:rPr>
      </w:pPr>
      <w:r w:rsidRPr="0015349E">
        <w:rPr>
          <w:rFonts w:ascii="Open Sans" w:hAnsi="Open Sans" w:cs="Open Sans"/>
        </w:rPr>
        <w:t xml:space="preserve">Below is an example of how you might assess the comprehension of the </w:t>
      </w:r>
      <w:r w:rsidR="005B76DD" w:rsidRPr="0015349E">
        <w:rPr>
          <w:rFonts w:ascii="Open Sans" w:hAnsi="Open Sans" w:cs="Open Sans"/>
        </w:rPr>
        <w:t>model by students, however, feel free to add or remove elements as you see fit:</w:t>
      </w:r>
    </w:p>
    <w:p w14:paraId="29467F48" w14:textId="0D709848" w:rsidR="005B76DD" w:rsidRPr="0015349E" w:rsidRDefault="005B76DD" w:rsidP="00F628DC">
      <w:pPr>
        <w:pStyle w:val="ListParagraph"/>
        <w:numPr>
          <w:ilvl w:val="0"/>
          <w:numId w:val="2"/>
        </w:numPr>
        <w:jc w:val="both"/>
        <w:rPr>
          <w:rFonts w:ascii="Open Sans" w:hAnsi="Open Sans" w:cs="Open Sans"/>
        </w:rPr>
      </w:pPr>
      <w:r w:rsidRPr="0015349E">
        <w:rPr>
          <w:rFonts w:ascii="Open Sans" w:hAnsi="Open Sans" w:cs="Open Sans"/>
        </w:rPr>
        <w:t xml:space="preserve">A quiz/test to test comprehension of the theory </w:t>
      </w:r>
      <w:r w:rsidR="00CE4583" w:rsidRPr="0015349E">
        <w:rPr>
          <w:rFonts w:ascii="Open Sans" w:hAnsi="Open Sans" w:cs="Open Sans"/>
        </w:rPr>
        <w:t xml:space="preserve">behind </w:t>
      </w:r>
      <w:r w:rsidR="007D63BF" w:rsidRPr="0015349E">
        <w:rPr>
          <w:rFonts w:ascii="Open Sans" w:hAnsi="Open Sans" w:cs="Open Sans"/>
        </w:rPr>
        <w:t>EAE</w:t>
      </w:r>
      <w:r w:rsidR="00CE4583" w:rsidRPr="0015349E">
        <w:rPr>
          <w:rFonts w:ascii="Open Sans" w:hAnsi="Open Sans" w:cs="Open Sans"/>
        </w:rPr>
        <w:t xml:space="preserve">, </w:t>
      </w:r>
      <w:r w:rsidR="007D63BF" w:rsidRPr="0015349E">
        <w:rPr>
          <w:rFonts w:ascii="Open Sans" w:hAnsi="Open Sans" w:cs="Open Sans"/>
        </w:rPr>
        <w:t xml:space="preserve">about inclusive and integrated energy planning, the characteristics of EAE’s front and back-end </w:t>
      </w:r>
      <w:r w:rsidR="00630955" w:rsidRPr="0015349E">
        <w:rPr>
          <w:rFonts w:ascii="Open Sans" w:hAnsi="Open Sans" w:cs="Open Sans"/>
        </w:rPr>
        <w:t xml:space="preserve">features, </w:t>
      </w:r>
      <w:r w:rsidR="000B5FC8" w:rsidRPr="0015349E">
        <w:rPr>
          <w:rFonts w:ascii="Open Sans" w:hAnsi="Open Sans" w:cs="Open Sans"/>
        </w:rPr>
        <w:t xml:space="preserve">and </w:t>
      </w:r>
      <w:r w:rsidR="00630955" w:rsidRPr="0015349E">
        <w:rPr>
          <w:rFonts w:ascii="Open Sans" w:hAnsi="Open Sans" w:cs="Open Sans"/>
        </w:rPr>
        <w:t>the</w:t>
      </w:r>
      <w:r w:rsidR="00C54F65" w:rsidRPr="0015349E">
        <w:rPr>
          <w:rFonts w:ascii="Open Sans" w:hAnsi="Open Sans" w:cs="Open Sans"/>
        </w:rPr>
        <w:t xml:space="preserve"> analytical</w:t>
      </w:r>
      <w:r w:rsidR="00CE4583" w:rsidRPr="0015349E">
        <w:rPr>
          <w:rFonts w:ascii="Open Sans" w:hAnsi="Open Sans" w:cs="Open Sans"/>
        </w:rPr>
        <w:t xml:space="preserve"> </w:t>
      </w:r>
      <w:r w:rsidR="000B5FC8" w:rsidRPr="0015349E">
        <w:rPr>
          <w:rFonts w:ascii="Open Sans" w:hAnsi="Open Sans" w:cs="Open Sans"/>
        </w:rPr>
        <w:t xml:space="preserve">indices </w:t>
      </w:r>
      <w:r w:rsidR="00CE4583" w:rsidRPr="0015349E">
        <w:rPr>
          <w:rFonts w:ascii="Open Sans" w:hAnsi="Open Sans" w:cs="Open Sans"/>
        </w:rPr>
        <w:t xml:space="preserve">used in the </w:t>
      </w:r>
      <w:r w:rsidR="007D63BF" w:rsidRPr="0015349E">
        <w:rPr>
          <w:rFonts w:ascii="Open Sans" w:hAnsi="Open Sans" w:cs="Open Sans"/>
        </w:rPr>
        <w:t>multi-criteria analysis</w:t>
      </w:r>
      <w:r w:rsidR="00D315D0" w:rsidRPr="0015349E">
        <w:rPr>
          <w:rFonts w:ascii="Open Sans" w:hAnsi="Open Sans" w:cs="Open Sans"/>
        </w:rPr>
        <w:t>.</w:t>
      </w:r>
      <w:r w:rsidR="00F628DC" w:rsidRPr="0015349E">
        <w:rPr>
          <w:rFonts w:ascii="Open Sans" w:hAnsi="Open Sans" w:cs="Open Sans"/>
        </w:rPr>
        <w:t xml:space="preserve"> This can take the form of a simple multi-choice</w:t>
      </w:r>
      <w:r w:rsidR="001516E7" w:rsidRPr="0015349E">
        <w:rPr>
          <w:rFonts w:ascii="Open Sans" w:hAnsi="Open Sans" w:cs="Open Sans"/>
        </w:rPr>
        <w:t xml:space="preserve"> or a more complex written test.</w:t>
      </w:r>
    </w:p>
    <w:p w14:paraId="38751C30" w14:textId="2AA26366" w:rsidR="00D315D0" w:rsidRPr="0015349E" w:rsidRDefault="00D315D0" w:rsidP="00D315D0">
      <w:pPr>
        <w:pStyle w:val="ListParagraph"/>
        <w:numPr>
          <w:ilvl w:val="1"/>
          <w:numId w:val="2"/>
        </w:numPr>
        <w:rPr>
          <w:rFonts w:ascii="Open Sans" w:hAnsi="Open Sans" w:cs="Open Sans"/>
        </w:rPr>
      </w:pPr>
      <w:r w:rsidRPr="0015349E">
        <w:rPr>
          <w:rFonts w:ascii="Open Sans" w:hAnsi="Open Sans" w:cs="Open Sans"/>
        </w:rPr>
        <w:t>10%</w:t>
      </w:r>
    </w:p>
    <w:p w14:paraId="43D088C0" w14:textId="5EEED703" w:rsidR="00FD3F00" w:rsidRPr="0015349E" w:rsidRDefault="00493887" w:rsidP="00C25307">
      <w:pPr>
        <w:pStyle w:val="ListParagraph"/>
        <w:numPr>
          <w:ilvl w:val="0"/>
          <w:numId w:val="2"/>
        </w:numPr>
        <w:jc w:val="both"/>
        <w:rPr>
          <w:rFonts w:ascii="Open Sans" w:hAnsi="Open Sans" w:cs="Open Sans"/>
        </w:rPr>
      </w:pPr>
      <w:r w:rsidRPr="0015349E">
        <w:rPr>
          <w:rFonts w:ascii="Open Sans" w:hAnsi="Open Sans" w:cs="Open Sans"/>
        </w:rPr>
        <w:t>A report (3</w:t>
      </w:r>
      <w:r w:rsidR="00647A22" w:rsidRPr="0015349E">
        <w:rPr>
          <w:rFonts w:ascii="Open Sans" w:hAnsi="Open Sans" w:cs="Open Sans"/>
        </w:rPr>
        <w:t>,</w:t>
      </w:r>
      <w:r w:rsidRPr="0015349E">
        <w:rPr>
          <w:rFonts w:ascii="Open Sans" w:hAnsi="Open Sans" w:cs="Open Sans"/>
        </w:rPr>
        <w:t>000-5</w:t>
      </w:r>
      <w:r w:rsidR="00647A22" w:rsidRPr="0015349E">
        <w:rPr>
          <w:rFonts w:ascii="Open Sans" w:hAnsi="Open Sans" w:cs="Open Sans"/>
        </w:rPr>
        <w:t>,</w:t>
      </w:r>
      <w:r w:rsidRPr="0015349E">
        <w:rPr>
          <w:rFonts w:ascii="Open Sans" w:hAnsi="Open Sans" w:cs="Open Sans"/>
        </w:rPr>
        <w:t xml:space="preserve">000 words) </w:t>
      </w:r>
      <w:r w:rsidR="00647A22" w:rsidRPr="0015349E">
        <w:rPr>
          <w:rFonts w:ascii="Open Sans" w:hAnsi="Open Sans" w:cs="Open Sans"/>
        </w:rPr>
        <w:t xml:space="preserve">that presents </w:t>
      </w:r>
      <w:r w:rsidR="007D63BF" w:rsidRPr="0015349E">
        <w:rPr>
          <w:rFonts w:ascii="Open Sans" w:hAnsi="Open Sans" w:cs="Open Sans"/>
        </w:rPr>
        <w:t xml:space="preserve">description of a case study (scenario), criteria (layers) </w:t>
      </w:r>
      <w:r w:rsidR="00781D7A" w:rsidRPr="0015349E">
        <w:rPr>
          <w:rFonts w:ascii="Open Sans" w:hAnsi="Open Sans" w:cs="Open Sans"/>
        </w:rPr>
        <w:t>identified</w:t>
      </w:r>
      <w:r w:rsidR="007D63BF" w:rsidRPr="0015349E">
        <w:rPr>
          <w:rFonts w:ascii="Open Sans" w:hAnsi="Open Sans" w:cs="Open Sans"/>
        </w:rPr>
        <w:t xml:space="preserve"> in EAE, relevant filters and weights applied in the selected datasets, results of the data analysed and their description (with figures and maps) and identified high-priority areas for energy access intervention. </w:t>
      </w:r>
      <w:r w:rsidR="00FD3F00" w:rsidRPr="0015349E">
        <w:rPr>
          <w:rFonts w:ascii="Open Sans" w:hAnsi="Open Sans" w:cs="Open Sans"/>
        </w:rPr>
        <w:t>This can be prepared individually or as a small group, the scope of which will change accordingly.</w:t>
      </w:r>
    </w:p>
    <w:p w14:paraId="314C1B94" w14:textId="11EBC572" w:rsidR="00126053" w:rsidRPr="0015349E" w:rsidRDefault="00FD3F00" w:rsidP="00126053">
      <w:pPr>
        <w:pStyle w:val="ListParagraph"/>
        <w:numPr>
          <w:ilvl w:val="1"/>
          <w:numId w:val="2"/>
        </w:numPr>
        <w:rPr>
          <w:rFonts w:ascii="Open Sans" w:hAnsi="Open Sans" w:cs="Open Sans"/>
        </w:rPr>
      </w:pPr>
      <w:r w:rsidRPr="0015349E">
        <w:rPr>
          <w:rFonts w:ascii="Open Sans" w:hAnsi="Open Sans" w:cs="Open Sans"/>
        </w:rPr>
        <w:t>70%</w:t>
      </w:r>
    </w:p>
    <w:p w14:paraId="7F814303" w14:textId="430FC6ED" w:rsidR="00126053" w:rsidRPr="0015349E" w:rsidRDefault="007D63BF" w:rsidP="00126053">
      <w:pPr>
        <w:pStyle w:val="ListParagraph"/>
        <w:numPr>
          <w:ilvl w:val="0"/>
          <w:numId w:val="2"/>
        </w:numPr>
        <w:rPr>
          <w:rFonts w:ascii="Open Sans" w:hAnsi="Open Sans" w:cs="Open Sans"/>
        </w:rPr>
      </w:pPr>
      <w:r w:rsidRPr="0015349E">
        <w:rPr>
          <w:rFonts w:ascii="Open Sans" w:hAnsi="Open Sans" w:cs="Open Sans"/>
        </w:rPr>
        <w:t>P</w:t>
      </w:r>
      <w:r w:rsidR="00126053" w:rsidRPr="0015349E">
        <w:rPr>
          <w:rFonts w:ascii="Open Sans" w:hAnsi="Open Sans" w:cs="Open Sans"/>
        </w:rPr>
        <w:t xml:space="preserve">repare a short (10 minute) presentation </w:t>
      </w:r>
      <w:r w:rsidR="00A2293F" w:rsidRPr="0015349E">
        <w:rPr>
          <w:rFonts w:ascii="Open Sans" w:hAnsi="Open Sans" w:cs="Open Sans"/>
        </w:rPr>
        <w:t>based on the findings of the report.</w:t>
      </w:r>
    </w:p>
    <w:p w14:paraId="57706F6A" w14:textId="3FAD8FFE" w:rsidR="00A2293F" w:rsidRPr="0015349E" w:rsidRDefault="00FA588F" w:rsidP="00467CD6">
      <w:pPr>
        <w:pStyle w:val="ListParagraph"/>
        <w:numPr>
          <w:ilvl w:val="1"/>
          <w:numId w:val="2"/>
        </w:numPr>
        <w:rPr>
          <w:rFonts w:ascii="Open Sans" w:hAnsi="Open Sans" w:cs="Open Sans"/>
        </w:rPr>
      </w:pPr>
      <w:r w:rsidRPr="0015349E">
        <w:rPr>
          <w:rFonts w:ascii="Open Sans" w:hAnsi="Open Sans" w:cs="Open Sans"/>
        </w:rPr>
        <w:t>(</w:t>
      </w:r>
      <w:r w:rsidR="00467CD6" w:rsidRPr="0015349E">
        <w:rPr>
          <w:rFonts w:ascii="Open Sans" w:hAnsi="Open Sans" w:cs="Open Sans"/>
        </w:rPr>
        <w:t>20%</w:t>
      </w:r>
      <w:r w:rsidRPr="0015349E">
        <w:rPr>
          <w:rFonts w:ascii="Open Sans" w:hAnsi="Open Sans" w:cs="Open Sans"/>
        </w:rPr>
        <w:t>)</w:t>
      </w:r>
    </w:p>
    <w:p w14:paraId="5099E799" w14:textId="2E703ABD" w:rsidR="00921C54" w:rsidRPr="0015349E" w:rsidRDefault="00921C54" w:rsidP="00921C54">
      <w:pPr>
        <w:pStyle w:val="Heading2"/>
        <w:rPr>
          <w:rFonts w:ascii="Open Sans" w:hAnsi="Open Sans" w:cs="Open Sans"/>
        </w:rPr>
      </w:pPr>
      <w:r w:rsidRPr="0015349E">
        <w:rPr>
          <w:rFonts w:ascii="Open Sans" w:hAnsi="Open Sans" w:cs="Open Sans"/>
        </w:rPr>
        <w:t>IT and Software Requirements</w:t>
      </w:r>
    </w:p>
    <w:p w14:paraId="03F8AF97" w14:textId="41D28820" w:rsidR="00BC44FC" w:rsidRPr="0015349E" w:rsidRDefault="00BC44FC" w:rsidP="00921C54">
      <w:pPr>
        <w:pStyle w:val="ListParagraph"/>
        <w:numPr>
          <w:ilvl w:val="0"/>
          <w:numId w:val="2"/>
        </w:numPr>
        <w:rPr>
          <w:rFonts w:ascii="Open Sans" w:hAnsi="Open Sans" w:cs="Open Sans"/>
        </w:rPr>
      </w:pPr>
      <w:r w:rsidRPr="0015349E">
        <w:rPr>
          <w:rFonts w:ascii="Open Sans" w:hAnsi="Open Sans" w:cs="Open Sans"/>
        </w:rPr>
        <w:t>Laptop or Desktop Computer with Internet Connectivity and a browser</w:t>
      </w:r>
    </w:p>
    <w:p w14:paraId="279BBF14" w14:textId="4F565405" w:rsidR="00921C54" w:rsidRPr="0015349E" w:rsidRDefault="00BC44FC" w:rsidP="00BC44FC">
      <w:pPr>
        <w:pStyle w:val="ListParagraph"/>
        <w:numPr>
          <w:ilvl w:val="0"/>
          <w:numId w:val="2"/>
        </w:numPr>
        <w:rPr>
          <w:rFonts w:ascii="Open Sans" w:hAnsi="Open Sans" w:cs="Open Sans"/>
        </w:rPr>
      </w:pPr>
      <w:r w:rsidRPr="0015349E">
        <w:rPr>
          <w:rFonts w:ascii="Open Sans" w:hAnsi="Open Sans" w:cs="Open Sans"/>
        </w:rPr>
        <w:t>Knowledge of spatial data analysis with open-source software such as QGIS is useful but not mandatory</w:t>
      </w:r>
    </w:p>
    <w:sectPr w:rsidR="00921C54" w:rsidRPr="0015349E">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45F8E" w14:textId="77777777" w:rsidR="00DC79C4" w:rsidRDefault="00DC79C4" w:rsidP="00506E74">
      <w:pPr>
        <w:spacing w:after="0" w:line="240" w:lineRule="auto"/>
      </w:pPr>
      <w:r>
        <w:separator/>
      </w:r>
    </w:p>
  </w:endnote>
  <w:endnote w:type="continuationSeparator" w:id="0">
    <w:p w14:paraId="5A049407" w14:textId="77777777" w:rsidR="00DC79C4" w:rsidRDefault="00DC79C4" w:rsidP="00506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12FF7" w14:textId="77777777" w:rsidR="00DC79C4" w:rsidRDefault="00DC79C4" w:rsidP="00506E74">
      <w:pPr>
        <w:spacing w:after="0" w:line="240" w:lineRule="auto"/>
      </w:pPr>
      <w:r>
        <w:separator/>
      </w:r>
    </w:p>
  </w:footnote>
  <w:footnote w:type="continuationSeparator" w:id="0">
    <w:p w14:paraId="579D9F3C" w14:textId="77777777" w:rsidR="00DC79C4" w:rsidRDefault="00DC79C4" w:rsidP="00506E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8B154" w14:textId="262D5C82" w:rsidR="00506E74" w:rsidRDefault="00C3073B" w:rsidP="00506E74">
    <w:pPr>
      <w:pStyle w:val="Header"/>
      <w:tabs>
        <w:tab w:val="clear" w:pos="4513"/>
        <w:tab w:val="clear" w:pos="9026"/>
        <w:tab w:val="left" w:pos="7483"/>
      </w:tabs>
    </w:pPr>
    <w:r>
      <w:rPr>
        <w:noProof/>
      </w:rPr>
      <w:drawing>
        <wp:anchor distT="0" distB="0" distL="114300" distR="114300" simplePos="0" relativeHeight="251662336" behindDoc="0" locked="0" layoutInCell="1" allowOverlap="1" wp14:anchorId="6C756958" wp14:editId="783CAFC8">
          <wp:simplePos x="0" y="0"/>
          <wp:positionH relativeFrom="column">
            <wp:posOffset>3067050</wp:posOffset>
          </wp:positionH>
          <wp:positionV relativeFrom="paragraph">
            <wp:posOffset>-240030</wp:posOffset>
          </wp:positionV>
          <wp:extent cx="977265" cy="553085"/>
          <wp:effectExtent l="0" t="0" r="0" b="0"/>
          <wp:wrapNone/>
          <wp:docPr id="14123906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390659"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77265" cy="553085"/>
                  </a:xfrm>
                  <a:prstGeom prst="rect">
                    <a:avLst/>
                  </a:prstGeom>
                </pic:spPr>
              </pic:pic>
            </a:graphicData>
          </a:graphic>
          <wp14:sizeRelV relativeFrom="margin">
            <wp14:pctHeight>0</wp14:pctHeight>
          </wp14:sizeRelV>
        </wp:anchor>
      </w:drawing>
    </w:r>
    <w:r>
      <w:rPr>
        <w:noProof/>
      </w:rPr>
      <w:drawing>
        <wp:anchor distT="57150" distB="57150" distL="57150" distR="57150" simplePos="0" relativeHeight="251661312" behindDoc="1" locked="0" layoutInCell="1" hidden="0" allowOverlap="1" wp14:anchorId="267509A0" wp14:editId="1BDE3AA8">
          <wp:simplePos x="0" y="0"/>
          <wp:positionH relativeFrom="column">
            <wp:posOffset>-622300</wp:posOffset>
          </wp:positionH>
          <wp:positionV relativeFrom="paragraph">
            <wp:posOffset>-176530</wp:posOffset>
          </wp:positionV>
          <wp:extent cx="2838450" cy="4445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2">
                    <a:extLst>
                      <a:ext uri="{28A0092B-C50C-407E-A947-70E740481C1C}">
                        <a14:useLocalDpi xmlns:a14="http://schemas.microsoft.com/office/drawing/2010/main" val="0"/>
                      </a:ext>
                    </a:extLst>
                  </a:blip>
                  <a:stretch>
                    <a:fillRect/>
                  </a:stretch>
                </pic:blipFill>
                <pic:spPr>
                  <a:xfrm>
                    <a:off x="0" y="0"/>
                    <a:ext cx="2838450" cy="444500"/>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114300" distB="114300" distL="114300" distR="114300" simplePos="0" relativeHeight="251659264" behindDoc="1" locked="0" layoutInCell="1" hidden="0" allowOverlap="1" wp14:anchorId="0C62AB52" wp14:editId="3542BD8C">
          <wp:simplePos x="0" y="0"/>
          <wp:positionH relativeFrom="rightMargin">
            <wp:posOffset>-177800</wp:posOffset>
          </wp:positionH>
          <wp:positionV relativeFrom="paragraph">
            <wp:posOffset>-372745</wp:posOffset>
          </wp:positionV>
          <wp:extent cx="809625" cy="809625"/>
          <wp:effectExtent l="0" t="0" r="9525" b="9525"/>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809625" cy="809625"/>
                  </a:xfrm>
                  <a:prstGeom prst="rect">
                    <a:avLst/>
                  </a:prstGeom>
                  <a:ln/>
                </pic:spPr>
              </pic:pic>
            </a:graphicData>
          </a:graphic>
        </wp:anchor>
      </w:drawing>
    </w:r>
    <w:r w:rsidR="0009742A">
      <w:t xml:space="preserve">                                                                                              </w:t>
    </w:r>
    <w:r w:rsidR="00506E74">
      <w:tab/>
    </w:r>
  </w:p>
</w:hdr>
</file>

<file path=word/intelligence2.xml><?xml version="1.0" encoding="utf-8"?>
<int2:intelligence xmlns:int2="http://schemas.microsoft.com/office/intelligence/2020/intelligence" xmlns:oel="http://schemas.microsoft.com/office/2019/extlst">
  <int2:observations>
    <int2:textHash int2:hashCode="vVOnu1/vAKzDnB" int2:id="yJiIQlFt">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6283A"/>
    <w:multiLevelType w:val="hybridMultilevel"/>
    <w:tmpl w:val="FAC60988"/>
    <w:lvl w:ilvl="0" w:tplc="218C55A6">
      <w:start w:val="1"/>
      <w:numFmt w:val="decimal"/>
      <w:lvlText w:val="%1."/>
      <w:lvlJc w:val="left"/>
      <w:pPr>
        <w:tabs>
          <w:tab w:val="num" w:pos="720"/>
        </w:tabs>
        <w:ind w:left="720" w:hanging="360"/>
      </w:pPr>
    </w:lvl>
    <w:lvl w:ilvl="1" w:tplc="1236174A" w:tentative="1">
      <w:start w:val="1"/>
      <w:numFmt w:val="decimal"/>
      <w:lvlText w:val="%2."/>
      <w:lvlJc w:val="left"/>
      <w:pPr>
        <w:tabs>
          <w:tab w:val="num" w:pos="1440"/>
        </w:tabs>
        <w:ind w:left="1440" w:hanging="360"/>
      </w:pPr>
    </w:lvl>
    <w:lvl w:ilvl="2" w:tplc="BE72B5E8" w:tentative="1">
      <w:start w:val="1"/>
      <w:numFmt w:val="decimal"/>
      <w:lvlText w:val="%3."/>
      <w:lvlJc w:val="left"/>
      <w:pPr>
        <w:tabs>
          <w:tab w:val="num" w:pos="2160"/>
        </w:tabs>
        <w:ind w:left="2160" w:hanging="360"/>
      </w:pPr>
    </w:lvl>
    <w:lvl w:ilvl="3" w:tplc="FDF66BBA" w:tentative="1">
      <w:start w:val="1"/>
      <w:numFmt w:val="decimal"/>
      <w:lvlText w:val="%4."/>
      <w:lvlJc w:val="left"/>
      <w:pPr>
        <w:tabs>
          <w:tab w:val="num" w:pos="2880"/>
        </w:tabs>
        <w:ind w:left="2880" w:hanging="360"/>
      </w:pPr>
    </w:lvl>
    <w:lvl w:ilvl="4" w:tplc="28AE04A6" w:tentative="1">
      <w:start w:val="1"/>
      <w:numFmt w:val="decimal"/>
      <w:lvlText w:val="%5."/>
      <w:lvlJc w:val="left"/>
      <w:pPr>
        <w:tabs>
          <w:tab w:val="num" w:pos="3600"/>
        </w:tabs>
        <w:ind w:left="3600" w:hanging="360"/>
      </w:pPr>
    </w:lvl>
    <w:lvl w:ilvl="5" w:tplc="B150C12A" w:tentative="1">
      <w:start w:val="1"/>
      <w:numFmt w:val="decimal"/>
      <w:lvlText w:val="%6."/>
      <w:lvlJc w:val="left"/>
      <w:pPr>
        <w:tabs>
          <w:tab w:val="num" w:pos="4320"/>
        </w:tabs>
        <w:ind w:left="4320" w:hanging="360"/>
      </w:pPr>
    </w:lvl>
    <w:lvl w:ilvl="6" w:tplc="0D221ED6" w:tentative="1">
      <w:start w:val="1"/>
      <w:numFmt w:val="decimal"/>
      <w:lvlText w:val="%7."/>
      <w:lvlJc w:val="left"/>
      <w:pPr>
        <w:tabs>
          <w:tab w:val="num" w:pos="5040"/>
        </w:tabs>
        <w:ind w:left="5040" w:hanging="360"/>
      </w:pPr>
    </w:lvl>
    <w:lvl w:ilvl="7" w:tplc="46B85592" w:tentative="1">
      <w:start w:val="1"/>
      <w:numFmt w:val="decimal"/>
      <w:lvlText w:val="%8."/>
      <w:lvlJc w:val="left"/>
      <w:pPr>
        <w:tabs>
          <w:tab w:val="num" w:pos="5760"/>
        </w:tabs>
        <w:ind w:left="5760" w:hanging="360"/>
      </w:pPr>
    </w:lvl>
    <w:lvl w:ilvl="8" w:tplc="567C3652" w:tentative="1">
      <w:start w:val="1"/>
      <w:numFmt w:val="decimal"/>
      <w:lvlText w:val="%9."/>
      <w:lvlJc w:val="left"/>
      <w:pPr>
        <w:tabs>
          <w:tab w:val="num" w:pos="6480"/>
        </w:tabs>
        <w:ind w:left="6480" w:hanging="360"/>
      </w:pPr>
    </w:lvl>
  </w:abstractNum>
  <w:abstractNum w:abstractNumId="1" w15:restartNumberingAfterBreak="0">
    <w:nsid w:val="0B5C690F"/>
    <w:multiLevelType w:val="hybridMultilevel"/>
    <w:tmpl w:val="427022CA"/>
    <w:lvl w:ilvl="0" w:tplc="058AFE90">
      <w:start w:val="1"/>
      <w:numFmt w:val="decimal"/>
      <w:lvlText w:val="%1."/>
      <w:lvlJc w:val="left"/>
      <w:pPr>
        <w:tabs>
          <w:tab w:val="num" w:pos="720"/>
        </w:tabs>
        <w:ind w:left="720" w:hanging="360"/>
      </w:pPr>
    </w:lvl>
    <w:lvl w:ilvl="1" w:tplc="9F90F31A" w:tentative="1">
      <w:start w:val="1"/>
      <w:numFmt w:val="decimal"/>
      <w:lvlText w:val="%2."/>
      <w:lvlJc w:val="left"/>
      <w:pPr>
        <w:tabs>
          <w:tab w:val="num" w:pos="1440"/>
        </w:tabs>
        <w:ind w:left="1440" w:hanging="360"/>
      </w:pPr>
    </w:lvl>
    <w:lvl w:ilvl="2" w:tplc="C2AA94EA" w:tentative="1">
      <w:start w:val="1"/>
      <w:numFmt w:val="decimal"/>
      <w:lvlText w:val="%3."/>
      <w:lvlJc w:val="left"/>
      <w:pPr>
        <w:tabs>
          <w:tab w:val="num" w:pos="2160"/>
        </w:tabs>
        <w:ind w:left="2160" w:hanging="360"/>
      </w:pPr>
    </w:lvl>
    <w:lvl w:ilvl="3" w:tplc="77429786" w:tentative="1">
      <w:start w:val="1"/>
      <w:numFmt w:val="decimal"/>
      <w:lvlText w:val="%4."/>
      <w:lvlJc w:val="left"/>
      <w:pPr>
        <w:tabs>
          <w:tab w:val="num" w:pos="2880"/>
        </w:tabs>
        <w:ind w:left="2880" w:hanging="360"/>
      </w:pPr>
    </w:lvl>
    <w:lvl w:ilvl="4" w:tplc="62629F1C" w:tentative="1">
      <w:start w:val="1"/>
      <w:numFmt w:val="decimal"/>
      <w:lvlText w:val="%5."/>
      <w:lvlJc w:val="left"/>
      <w:pPr>
        <w:tabs>
          <w:tab w:val="num" w:pos="3600"/>
        </w:tabs>
        <w:ind w:left="3600" w:hanging="360"/>
      </w:pPr>
    </w:lvl>
    <w:lvl w:ilvl="5" w:tplc="63B48D76" w:tentative="1">
      <w:start w:val="1"/>
      <w:numFmt w:val="decimal"/>
      <w:lvlText w:val="%6."/>
      <w:lvlJc w:val="left"/>
      <w:pPr>
        <w:tabs>
          <w:tab w:val="num" w:pos="4320"/>
        </w:tabs>
        <w:ind w:left="4320" w:hanging="360"/>
      </w:pPr>
    </w:lvl>
    <w:lvl w:ilvl="6" w:tplc="48B8535C" w:tentative="1">
      <w:start w:val="1"/>
      <w:numFmt w:val="decimal"/>
      <w:lvlText w:val="%7."/>
      <w:lvlJc w:val="left"/>
      <w:pPr>
        <w:tabs>
          <w:tab w:val="num" w:pos="5040"/>
        </w:tabs>
        <w:ind w:left="5040" w:hanging="360"/>
      </w:pPr>
    </w:lvl>
    <w:lvl w:ilvl="7" w:tplc="56AA4760" w:tentative="1">
      <w:start w:val="1"/>
      <w:numFmt w:val="decimal"/>
      <w:lvlText w:val="%8."/>
      <w:lvlJc w:val="left"/>
      <w:pPr>
        <w:tabs>
          <w:tab w:val="num" w:pos="5760"/>
        </w:tabs>
        <w:ind w:left="5760" w:hanging="360"/>
      </w:pPr>
    </w:lvl>
    <w:lvl w:ilvl="8" w:tplc="95264674" w:tentative="1">
      <w:start w:val="1"/>
      <w:numFmt w:val="decimal"/>
      <w:lvlText w:val="%9."/>
      <w:lvlJc w:val="left"/>
      <w:pPr>
        <w:tabs>
          <w:tab w:val="num" w:pos="6480"/>
        </w:tabs>
        <w:ind w:left="6480" w:hanging="360"/>
      </w:pPr>
    </w:lvl>
  </w:abstractNum>
  <w:abstractNum w:abstractNumId="2" w15:restartNumberingAfterBreak="0">
    <w:nsid w:val="2D0E24EC"/>
    <w:multiLevelType w:val="hybridMultilevel"/>
    <w:tmpl w:val="357071B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E716E25"/>
    <w:multiLevelType w:val="hybridMultilevel"/>
    <w:tmpl w:val="E738E1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F4A2D38"/>
    <w:multiLevelType w:val="hybridMultilevel"/>
    <w:tmpl w:val="E356F304"/>
    <w:lvl w:ilvl="0" w:tplc="993AED8E">
      <w:start w:val="1"/>
      <w:numFmt w:val="decimal"/>
      <w:lvlText w:val="%1."/>
      <w:lvlJc w:val="left"/>
      <w:pPr>
        <w:tabs>
          <w:tab w:val="num" w:pos="720"/>
        </w:tabs>
        <w:ind w:left="720" w:hanging="360"/>
      </w:pPr>
    </w:lvl>
    <w:lvl w:ilvl="1" w:tplc="E85E266C" w:tentative="1">
      <w:start w:val="1"/>
      <w:numFmt w:val="decimal"/>
      <w:lvlText w:val="%2."/>
      <w:lvlJc w:val="left"/>
      <w:pPr>
        <w:tabs>
          <w:tab w:val="num" w:pos="1440"/>
        </w:tabs>
        <w:ind w:left="1440" w:hanging="360"/>
      </w:pPr>
    </w:lvl>
    <w:lvl w:ilvl="2" w:tplc="4050BBF2" w:tentative="1">
      <w:start w:val="1"/>
      <w:numFmt w:val="decimal"/>
      <w:lvlText w:val="%3."/>
      <w:lvlJc w:val="left"/>
      <w:pPr>
        <w:tabs>
          <w:tab w:val="num" w:pos="2160"/>
        </w:tabs>
        <w:ind w:left="2160" w:hanging="360"/>
      </w:pPr>
    </w:lvl>
    <w:lvl w:ilvl="3" w:tplc="E38C2366" w:tentative="1">
      <w:start w:val="1"/>
      <w:numFmt w:val="decimal"/>
      <w:lvlText w:val="%4."/>
      <w:lvlJc w:val="left"/>
      <w:pPr>
        <w:tabs>
          <w:tab w:val="num" w:pos="2880"/>
        </w:tabs>
        <w:ind w:left="2880" w:hanging="360"/>
      </w:pPr>
    </w:lvl>
    <w:lvl w:ilvl="4" w:tplc="624EBB66" w:tentative="1">
      <w:start w:val="1"/>
      <w:numFmt w:val="decimal"/>
      <w:lvlText w:val="%5."/>
      <w:lvlJc w:val="left"/>
      <w:pPr>
        <w:tabs>
          <w:tab w:val="num" w:pos="3600"/>
        </w:tabs>
        <w:ind w:left="3600" w:hanging="360"/>
      </w:pPr>
    </w:lvl>
    <w:lvl w:ilvl="5" w:tplc="EF90FC8A" w:tentative="1">
      <w:start w:val="1"/>
      <w:numFmt w:val="decimal"/>
      <w:lvlText w:val="%6."/>
      <w:lvlJc w:val="left"/>
      <w:pPr>
        <w:tabs>
          <w:tab w:val="num" w:pos="4320"/>
        </w:tabs>
        <w:ind w:left="4320" w:hanging="360"/>
      </w:pPr>
    </w:lvl>
    <w:lvl w:ilvl="6" w:tplc="FD1EF25A" w:tentative="1">
      <w:start w:val="1"/>
      <w:numFmt w:val="decimal"/>
      <w:lvlText w:val="%7."/>
      <w:lvlJc w:val="left"/>
      <w:pPr>
        <w:tabs>
          <w:tab w:val="num" w:pos="5040"/>
        </w:tabs>
        <w:ind w:left="5040" w:hanging="360"/>
      </w:pPr>
    </w:lvl>
    <w:lvl w:ilvl="7" w:tplc="03C04A86" w:tentative="1">
      <w:start w:val="1"/>
      <w:numFmt w:val="decimal"/>
      <w:lvlText w:val="%8."/>
      <w:lvlJc w:val="left"/>
      <w:pPr>
        <w:tabs>
          <w:tab w:val="num" w:pos="5760"/>
        </w:tabs>
        <w:ind w:left="5760" w:hanging="360"/>
      </w:pPr>
    </w:lvl>
    <w:lvl w:ilvl="8" w:tplc="620E33BC" w:tentative="1">
      <w:start w:val="1"/>
      <w:numFmt w:val="decimal"/>
      <w:lvlText w:val="%9."/>
      <w:lvlJc w:val="left"/>
      <w:pPr>
        <w:tabs>
          <w:tab w:val="num" w:pos="6480"/>
        </w:tabs>
        <w:ind w:left="6480" w:hanging="360"/>
      </w:pPr>
    </w:lvl>
  </w:abstractNum>
  <w:num w:numId="1" w16cid:durableId="1756047244">
    <w:abstractNumId w:val="3"/>
  </w:num>
  <w:num w:numId="2" w16cid:durableId="486164659">
    <w:abstractNumId w:val="2"/>
  </w:num>
  <w:num w:numId="3" w16cid:durableId="510993136">
    <w:abstractNumId w:val="4"/>
  </w:num>
  <w:num w:numId="4" w16cid:durableId="960067519">
    <w:abstractNumId w:val="0"/>
  </w:num>
  <w:num w:numId="5" w16cid:durableId="8173792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5C3"/>
    <w:rsid w:val="000117B2"/>
    <w:rsid w:val="00027E8F"/>
    <w:rsid w:val="0003099F"/>
    <w:rsid w:val="0003507A"/>
    <w:rsid w:val="00037036"/>
    <w:rsid w:val="00046368"/>
    <w:rsid w:val="0009742A"/>
    <w:rsid w:val="000A3917"/>
    <w:rsid w:val="000B5FC8"/>
    <w:rsid w:val="001177B2"/>
    <w:rsid w:val="00126053"/>
    <w:rsid w:val="00135A0C"/>
    <w:rsid w:val="00137B74"/>
    <w:rsid w:val="001516E7"/>
    <w:rsid w:val="0015349E"/>
    <w:rsid w:val="00160EED"/>
    <w:rsid w:val="00167AD9"/>
    <w:rsid w:val="00187F1A"/>
    <w:rsid w:val="001A15FF"/>
    <w:rsid w:val="001B546D"/>
    <w:rsid w:val="00206255"/>
    <w:rsid w:val="0021143E"/>
    <w:rsid w:val="00243595"/>
    <w:rsid w:val="002B4B2F"/>
    <w:rsid w:val="002D2976"/>
    <w:rsid w:val="002D38F2"/>
    <w:rsid w:val="002E33E5"/>
    <w:rsid w:val="002F1618"/>
    <w:rsid w:val="00324A64"/>
    <w:rsid w:val="00343D51"/>
    <w:rsid w:val="00387140"/>
    <w:rsid w:val="00396D29"/>
    <w:rsid w:val="003C5AD1"/>
    <w:rsid w:val="003D70ED"/>
    <w:rsid w:val="003D7622"/>
    <w:rsid w:val="003E652E"/>
    <w:rsid w:val="003E6F28"/>
    <w:rsid w:val="00425E50"/>
    <w:rsid w:val="00426A5C"/>
    <w:rsid w:val="00427C7E"/>
    <w:rsid w:val="0043311E"/>
    <w:rsid w:val="00446FFE"/>
    <w:rsid w:val="00467CD6"/>
    <w:rsid w:val="00470E56"/>
    <w:rsid w:val="0049290E"/>
    <w:rsid w:val="00493887"/>
    <w:rsid w:val="004E65C3"/>
    <w:rsid w:val="004E7988"/>
    <w:rsid w:val="00506E74"/>
    <w:rsid w:val="005343D2"/>
    <w:rsid w:val="00551975"/>
    <w:rsid w:val="005557D4"/>
    <w:rsid w:val="00596C19"/>
    <w:rsid w:val="005B76DD"/>
    <w:rsid w:val="005D0467"/>
    <w:rsid w:val="005D7671"/>
    <w:rsid w:val="005E7771"/>
    <w:rsid w:val="0060612F"/>
    <w:rsid w:val="00607657"/>
    <w:rsid w:val="00624E23"/>
    <w:rsid w:val="00630955"/>
    <w:rsid w:val="00641F85"/>
    <w:rsid w:val="00647A22"/>
    <w:rsid w:val="006837C3"/>
    <w:rsid w:val="00686A03"/>
    <w:rsid w:val="006A7666"/>
    <w:rsid w:val="006B2CE8"/>
    <w:rsid w:val="006D7A07"/>
    <w:rsid w:val="0070725E"/>
    <w:rsid w:val="007277E2"/>
    <w:rsid w:val="0074283E"/>
    <w:rsid w:val="00781D7A"/>
    <w:rsid w:val="00782562"/>
    <w:rsid w:val="00795225"/>
    <w:rsid w:val="007A6C88"/>
    <w:rsid w:val="007C480D"/>
    <w:rsid w:val="007D63BF"/>
    <w:rsid w:val="0080026B"/>
    <w:rsid w:val="00813319"/>
    <w:rsid w:val="00833004"/>
    <w:rsid w:val="008A03A2"/>
    <w:rsid w:val="008C400B"/>
    <w:rsid w:val="008D0E14"/>
    <w:rsid w:val="008E4617"/>
    <w:rsid w:val="008E59E3"/>
    <w:rsid w:val="008F3084"/>
    <w:rsid w:val="009059CD"/>
    <w:rsid w:val="00906F3C"/>
    <w:rsid w:val="00911CE6"/>
    <w:rsid w:val="00921C54"/>
    <w:rsid w:val="009448B7"/>
    <w:rsid w:val="0098123A"/>
    <w:rsid w:val="0099161D"/>
    <w:rsid w:val="009A5A2D"/>
    <w:rsid w:val="009B38F8"/>
    <w:rsid w:val="009B5960"/>
    <w:rsid w:val="00A00CFC"/>
    <w:rsid w:val="00A03044"/>
    <w:rsid w:val="00A2293F"/>
    <w:rsid w:val="00A309BE"/>
    <w:rsid w:val="00A31111"/>
    <w:rsid w:val="00A4585A"/>
    <w:rsid w:val="00A5312F"/>
    <w:rsid w:val="00A627DA"/>
    <w:rsid w:val="00A71715"/>
    <w:rsid w:val="00A80BDE"/>
    <w:rsid w:val="00A83125"/>
    <w:rsid w:val="00A95CDA"/>
    <w:rsid w:val="00A9F6BF"/>
    <w:rsid w:val="00AD4AB1"/>
    <w:rsid w:val="00AF06B9"/>
    <w:rsid w:val="00B04B5C"/>
    <w:rsid w:val="00B13052"/>
    <w:rsid w:val="00B24869"/>
    <w:rsid w:val="00B26BA5"/>
    <w:rsid w:val="00B30556"/>
    <w:rsid w:val="00B52C21"/>
    <w:rsid w:val="00B76539"/>
    <w:rsid w:val="00BA19B8"/>
    <w:rsid w:val="00BC44FC"/>
    <w:rsid w:val="00BC7832"/>
    <w:rsid w:val="00BE0AEC"/>
    <w:rsid w:val="00BE1355"/>
    <w:rsid w:val="00C04920"/>
    <w:rsid w:val="00C134EA"/>
    <w:rsid w:val="00C3073B"/>
    <w:rsid w:val="00C45BF3"/>
    <w:rsid w:val="00C54F65"/>
    <w:rsid w:val="00C750FD"/>
    <w:rsid w:val="00CC211B"/>
    <w:rsid w:val="00CD0290"/>
    <w:rsid w:val="00CE4583"/>
    <w:rsid w:val="00D00130"/>
    <w:rsid w:val="00D10F00"/>
    <w:rsid w:val="00D22329"/>
    <w:rsid w:val="00D27EC0"/>
    <w:rsid w:val="00D315D0"/>
    <w:rsid w:val="00D46CEF"/>
    <w:rsid w:val="00D645C2"/>
    <w:rsid w:val="00D94E06"/>
    <w:rsid w:val="00DB0E0D"/>
    <w:rsid w:val="00DC6A8B"/>
    <w:rsid w:val="00DC79C4"/>
    <w:rsid w:val="00DE715E"/>
    <w:rsid w:val="00DF59A3"/>
    <w:rsid w:val="00E57894"/>
    <w:rsid w:val="00E873B2"/>
    <w:rsid w:val="00E97E64"/>
    <w:rsid w:val="00EC61B9"/>
    <w:rsid w:val="00EE77DA"/>
    <w:rsid w:val="00EF7CFF"/>
    <w:rsid w:val="00F128C6"/>
    <w:rsid w:val="00F148CE"/>
    <w:rsid w:val="00F35882"/>
    <w:rsid w:val="00F628DC"/>
    <w:rsid w:val="00F8041F"/>
    <w:rsid w:val="00FA588F"/>
    <w:rsid w:val="00FC4C54"/>
    <w:rsid w:val="00FD3F00"/>
    <w:rsid w:val="00FD5548"/>
    <w:rsid w:val="00FF4451"/>
    <w:rsid w:val="02557671"/>
    <w:rsid w:val="031995DC"/>
    <w:rsid w:val="06D7D565"/>
    <w:rsid w:val="0C92300B"/>
    <w:rsid w:val="0D28497C"/>
    <w:rsid w:val="150E1D29"/>
    <w:rsid w:val="18D53DDB"/>
    <w:rsid w:val="1BB8B14E"/>
    <w:rsid w:val="36CC530A"/>
    <w:rsid w:val="38CE1B27"/>
    <w:rsid w:val="6071007E"/>
    <w:rsid w:val="61BEA689"/>
    <w:rsid w:val="63B067F9"/>
    <w:rsid w:val="651274DF"/>
    <w:rsid w:val="74F36122"/>
    <w:rsid w:val="7DE185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5F342"/>
  <w15:chartTrackingRefBased/>
  <w15:docId w15:val="{0F01F00B-67A8-477A-9AF5-BBA1EF804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65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E65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65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65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65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65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65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65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65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65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E65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65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65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65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65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65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65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65C3"/>
    <w:rPr>
      <w:rFonts w:eastAsiaTheme="majorEastAsia" w:cstheme="majorBidi"/>
      <w:color w:val="272727" w:themeColor="text1" w:themeTint="D8"/>
    </w:rPr>
  </w:style>
  <w:style w:type="paragraph" w:styleId="Title">
    <w:name w:val="Title"/>
    <w:basedOn w:val="Normal"/>
    <w:next w:val="Normal"/>
    <w:link w:val="TitleChar"/>
    <w:uiPriority w:val="10"/>
    <w:qFormat/>
    <w:rsid w:val="004E65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65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65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65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65C3"/>
    <w:pPr>
      <w:spacing w:before="160"/>
      <w:jc w:val="center"/>
    </w:pPr>
    <w:rPr>
      <w:i/>
      <w:iCs/>
      <w:color w:val="404040" w:themeColor="text1" w:themeTint="BF"/>
    </w:rPr>
  </w:style>
  <w:style w:type="character" w:customStyle="1" w:styleId="QuoteChar">
    <w:name w:val="Quote Char"/>
    <w:basedOn w:val="DefaultParagraphFont"/>
    <w:link w:val="Quote"/>
    <w:uiPriority w:val="29"/>
    <w:rsid w:val="004E65C3"/>
    <w:rPr>
      <w:i/>
      <w:iCs/>
      <w:color w:val="404040" w:themeColor="text1" w:themeTint="BF"/>
    </w:rPr>
  </w:style>
  <w:style w:type="paragraph" w:styleId="ListParagraph">
    <w:name w:val="List Paragraph"/>
    <w:basedOn w:val="Normal"/>
    <w:uiPriority w:val="34"/>
    <w:qFormat/>
    <w:rsid w:val="004E65C3"/>
    <w:pPr>
      <w:ind w:left="720"/>
      <w:contextualSpacing/>
    </w:pPr>
  </w:style>
  <w:style w:type="character" w:styleId="IntenseEmphasis">
    <w:name w:val="Intense Emphasis"/>
    <w:basedOn w:val="DefaultParagraphFont"/>
    <w:uiPriority w:val="21"/>
    <w:qFormat/>
    <w:rsid w:val="004E65C3"/>
    <w:rPr>
      <w:i/>
      <w:iCs/>
      <w:color w:val="0F4761" w:themeColor="accent1" w:themeShade="BF"/>
    </w:rPr>
  </w:style>
  <w:style w:type="paragraph" w:styleId="IntenseQuote">
    <w:name w:val="Intense Quote"/>
    <w:basedOn w:val="Normal"/>
    <w:next w:val="Normal"/>
    <w:link w:val="IntenseQuoteChar"/>
    <w:uiPriority w:val="30"/>
    <w:qFormat/>
    <w:rsid w:val="004E65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65C3"/>
    <w:rPr>
      <w:i/>
      <w:iCs/>
      <w:color w:val="0F4761" w:themeColor="accent1" w:themeShade="BF"/>
    </w:rPr>
  </w:style>
  <w:style w:type="character" w:styleId="IntenseReference">
    <w:name w:val="Intense Reference"/>
    <w:basedOn w:val="DefaultParagraphFont"/>
    <w:uiPriority w:val="32"/>
    <w:qFormat/>
    <w:rsid w:val="004E65C3"/>
    <w:rPr>
      <w:b/>
      <w:bCs/>
      <w:smallCaps/>
      <w:color w:val="0F4761" w:themeColor="accent1" w:themeShade="BF"/>
      <w:spacing w:val="5"/>
    </w:rPr>
  </w:style>
  <w:style w:type="paragraph" w:styleId="Header">
    <w:name w:val="header"/>
    <w:basedOn w:val="Normal"/>
    <w:link w:val="HeaderChar"/>
    <w:uiPriority w:val="99"/>
    <w:unhideWhenUsed/>
    <w:rsid w:val="00506E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6E74"/>
  </w:style>
  <w:style w:type="paragraph" w:styleId="Footer">
    <w:name w:val="footer"/>
    <w:basedOn w:val="Normal"/>
    <w:link w:val="FooterChar"/>
    <w:uiPriority w:val="99"/>
    <w:unhideWhenUsed/>
    <w:rsid w:val="00506E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6E74"/>
  </w:style>
  <w:style w:type="character" w:styleId="Strong">
    <w:name w:val="Strong"/>
    <w:basedOn w:val="DefaultParagraphFont"/>
    <w:uiPriority w:val="22"/>
    <w:qFormat/>
    <w:rsid w:val="008C400B"/>
    <w:rPr>
      <w:b/>
      <w:bCs/>
    </w:rPr>
  </w:style>
  <w:style w:type="character" w:styleId="Hyperlink">
    <w:name w:val="Hyperlink"/>
    <w:basedOn w:val="DefaultParagraphFont"/>
    <w:uiPriority w:val="99"/>
    <w:unhideWhenUsed/>
    <w:rsid w:val="00EF7CFF"/>
    <w:rPr>
      <w:color w:val="467886" w:themeColor="hyperlink"/>
      <w:u w:val="single"/>
    </w:rPr>
  </w:style>
  <w:style w:type="character" w:styleId="UnresolvedMention">
    <w:name w:val="Unresolved Mention"/>
    <w:basedOn w:val="DefaultParagraphFont"/>
    <w:uiPriority w:val="99"/>
    <w:semiHidden/>
    <w:unhideWhenUsed/>
    <w:rsid w:val="00EF7CFF"/>
    <w:rPr>
      <w:color w:val="605E5C"/>
      <w:shd w:val="clear" w:color="auto" w:fill="E1DFDD"/>
    </w:rPr>
  </w:style>
  <w:style w:type="character" w:styleId="FollowedHyperlink">
    <w:name w:val="FollowedHyperlink"/>
    <w:basedOn w:val="DefaultParagraphFont"/>
    <w:uiPriority w:val="99"/>
    <w:semiHidden/>
    <w:unhideWhenUsed/>
    <w:rsid w:val="0009742A"/>
    <w:rPr>
      <w:color w:val="96607D" w:themeColor="followedHyperlink"/>
      <w:u w:val="single"/>
    </w:rPr>
  </w:style>
  <w:style w:type="character" w:styleId="CommentReference">
    <w:name w:val="annotation reference"/>
    <w:basedOn w:val="DefaultParagraphFont"/>
    <w:uiPriority w:val="99"/>
    <w:semiHidden/>
    <w:unhideWhenUsed/>
    <w:rsid w:val="00427C7E"/>
    <w:rPr>
      <w:sz w:val="16"/>
      <w:szCs w:val="16"/>
    </w:rPr>
  </w:style>
  <w:style w:type="paragraph" w:styleId="CommentText">
    <w:name w:val="annotation text"/>
    <w:basedOn w:val="Normal"/>
    <w:link w:val="CommentTextChar"/>
    <w:uiPriority w:val="99"/>
    <w:unhideWhenUsed/>
    <w:rsid w:val="00427C7E"/>
    <w:pPr>
      <w:spacing w:line="240" w:lineRule="auto"/>
    </w:pPr>
    <w:rPr>
      <w:sz w:val="20"/>
      <w:szCs w:val="20"/>
    </w:rPr>
  </w:style>
  <w:style w:type="character" w:customStyle="1" w:styleId="CommentTextChar">
    <w:name w:val="Comment Text Char"/>
    <w:basedOn w:val="DefaultParagraphFont"/>
    <w:link w:val="CommentText"/>
    <w:uiPriority w:val="99"/>
    <w:rsid w:val="00427C7E"/>
    <w:rPr>
      <w:sz w:val="20"/>
      <w:szCs w:val="20"/>
    </w:rPr>
  </w:style>
  <w:style w:type="paragraph" w:styleId="CommentSubject">
    <w:name w:val="annotation subject"/>
    <w:basedOn w:val="CommentText"/>
    <w:next w:val="CommentText"/>
    <w:link w:val="CommentSubjectChar"/>
    <w:uiPriority w:val="99"/>
    <w:semiHidden/>
    <w:unhideWhenUsed/>
    <w:rsid w:val="00427C7E"/>
    <w:rPr>
      <w:b/>
      <w:bCs/>
    </w:rPr>
  </w:style>
  <w:style w:type="character" w:customStyle="1" w:styleId="CommentSubjectChar">
    <w:name w:val="Comment Subject Char"/>
    <w:basedOn w:val="CommentTextChar"/>
    <w:link w:val="CommentSubject"/>
    <w:uiPriority w:val="99"/>
    <w:semiHidden/>
    <w:rsid w:val="00427C7E"/>
    <w:rPr>
      <w:b/>
      <w:bCs/>
      <w:sz w:val="20"/>
      <w:szCs w:val="20"/>
    </w:rPr>
  </w:style>
  <w:style w:type="paragraph" w:styleId="Revision">
    <w:name w:val="Revision"/>
    <w:hidden/>
    <w:uiPriority w:val="99"/>
    <w:semiHidden/>
    <w:rsid w:val="008D0E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04895">
      <w:bodyDiv w:val="1"/>
      <w:marLeft w:val="0"/>
      <w:marRight w:val="0"/>
      <w:marTop w:val="0"/>
      <w:marBottom w:val="0"/>
      <w:divBdr>
        <w:top w:val="none" w:sz="0" w:space="0" w:color="auto"/>
        <w:left w:val="none" w:sz="0" w:space="0" w:color="auto"/>
        <w:bottom w:val="none" w:sz="0" w:space="0" w:color="auto"/>
        <w:right w:val="none" w:sz="0" w:space="0" w:color="auto"/>
      </w:divBdr>
    </w:div>
    <w:div w:id="112336225">
      <w:bodyDiv w:val="1"/>
      <w:marLeft w:val="0"/>
      <w:marRight w:val="0"/>
      <w:marTop w:val="0"/>
      <w:marBottom w:val="0"/>
      <w:divBdr>
        <w:top w:val="none" w:sz="0" w:space="0" w:color="auto"/>
        <w:left w:val="none" w:sz="0" w:space="0" w:color="auto"/>
        <w:bottom w:val="none" w:sz="0" w:space="0" w:color="auto"/>
        <w:right w:val="none" w:sz="0" w:space="0" w:color="auto"/>
      </w:divBdr>
    </w:div>
    <w:div w:id="189073405">
      <w:bodyDiv w:val="1"/>
      <w:marLeft w:val="0"/>
      <w:marRight w:val="0"/>
      <w:marTop w:val="0"/>
      <w:marBottom w:val="0"/>
      <w:divBdr>
        <w:top w:val="none" w:sz="0" w:space="0" w:color="auto"/>
        <w:left w:val="none" w:sz="0" w:space="0" w:color="auto"/>
        <w:bottom w:val="none" w:sz="0" w:space="0" w:color="auto"/>
        <w:right w:val="none" w:sz="0" w:space="0" w:color="auto"/>
      </w:divBdr>
      <w:divsChild>
        <w:div w:id="891846151">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856195038">
      <w:bodyDiv w:val="1"/>
      <w:marLeft w:val="0"/>
      <w:marRight w:val="0"/>
      <w:marTop w:val="0"/>
      <w:marBottom w:val="0"/>
      <w:divBdr>
        <w:top w:val="none" w:sz="0" w:space="0" w:color="auto"/>
        <w:left w:val="none" w:sz="0" w:space="0" w:color="auto"/>
        <w:bottom w:val="none" w:sz="0" w:space="0" w:color="auto"/>
        <w:right w:val="none" w:sz="0" w:space="0" w:color="auto"/>
      </w:divBdr>
    </w:div>
    <w:div w:id="1308435996">
      <w:bodyDiv w:val="1"/>
      <w:marLeft w:val="0"/>
      <w:marRight w:val="0"/>
      <w:marTop w:val="0"/>
      <w:marBottom w:val="0"/>
      <w:divBdr>
        <w:top w:val="none" w:sz="0" w:space="0" w:color="auto"/>
        <w:left w:val="none" w:sz="0" w:space="0" w:color="auto"/>
        <w:bottom w:val="none" w:sz="0" w:space="0" w:color="auto"/>
        <w:right w:val="none" w:sz="0" w:space="0" w:color="auto"/>
      </w:divBdr>
      <w:divsChild>
        <w:div w:id="950864962">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1899777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702784B4-877E-47E1-810A-397190009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776</Words>
  <Characters>5177</Characters>
  <Application>Microsoft Office Word</Application>
  <DocSecurity>0</DocSecurity>
  <Lines>86</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Fynn Kiley</dc:creator>
  <cp:keywords/>
  <dc:description/>
  <cp:lastModifiedBy>Alemayehu Woldeamanuel</cp:lastModifiedBy>
  <cp:revision>116</cp:revision>
  <dcterms:created xsi:type="dcterms:W3CDTF">2025-06-04T09:04:00Z</dcterms:created>
  <dcterms:modified xsi:type="dcterms:W3CDTF">2026-01-16T07:45:00Z</dcterms:modified>
</cp:coreProperties>
</file>