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8561" w14:textId="7F26A532" w:rsidR="00833004" w:rsidRDefault="003E1DC7" w:rsidP="003E1DC7">
      <w:pPr>
        <w:pStyle w:val="Title"/>
      </w:pPr>
      <w:r>
        <w:t>Reading List</w:t>
      </w:r>
    </w:p>
    <w:p w14:paraId="1EE1F5D8" w14:textId="5721B249" w:rsidR="002A3A8F" w:rsidRPr="005D7671" w:rsidRDefault="002A3A8F" w:rsidP="002A3A8F">
      <w:pPr>
        <w:rPr>
          <w:b/>
          <w:bCs/>
        </w:rPr>
      </w:pPr>
      <w:r w:rsidRPr="005D7671">
        <w:rPr>
          <w:b/>
          <w:bCs/>
        </w:rPr>
        <w:t>Licen</w:t>
      </w:r>
      <w:r w:rsidR="0010717E">
        <w:rPr>
          <w:b/>
          <w:bCs/>
        </w:rPr>
        <w:t>s</w:t>
      </w:r>
      <w:r w:rsidRPr="005D7671">
        <w:rPr>
          <w:b/>
          <w:bCs/>
        </w:rPr>
        <w:t>e:</w:t>
      </w:r>
    </w:p>
    <w:p w14:paraId="5DA13051" w14:textId="77777777" w:rsidR="002A3A8F" w:rsidRDefault="002A3A8F" w:rsidP="002A3A8F">
      <w:r>
        <w:t xml:space="preserve">This work is licensed under the Creative Commons Attribution 4.0 International License (CC BY 4.0). To view a copy of this license, visit </w:t>
      </w:r>
      <w:hyperlink r:id="rId7" w:history="1">
        <w:r w:rsidRPr="007045C3">
          <w:rPr>
            <w:rStyle w:val="Hyperlink"/>
          </w:rPr>
          <w:t>https://creativecommons.org/licenses/by/4.0/</w:t>
        </w:r>
      </w:hyperlink>
      <w:r>
        <w:t>.</w:t>
      </w:r>
    </w:p>
    <w:p w14:paraId="0BC76CE5" w14:textId="77777777" w:rsidR="002A3A8F" w:rsidRPr="005D7671" w:rsidRDefault="002A3A8F" w:rsidP="002A3A8F">
      <w:pPr>
        <w:rPr>
          <w:b/>
          <w:bCs/>
        </w:rPr>
      </w:pPr>
      <w:r w:rsidRPr="005D7671">
        <w:rPr>
          <w:b/>
          <w:bCs/>
        </w:rPr>
        <w:t>Attribution:</w:t>
      </w:r>
    </w:p>
    <w:p w14:paraId="11344FB1" w14:textId="589AAE8C" w:rsidR="002A3A8F" w:rsidRDefault="002A3A8F" w:rsidP="002A3A8F">
      <w:r>
        <w:t xml:space="preserve">Please cite as: </w:t>
      </w:r>
      <w:r w:rsidR="00CE610E" w:rsidRPr="00F92A99">
        <w:t>Kiley, F., IAEA, Musah,</w:t>
      </w:r>
      <w:r w:rsidR="00CE610E">
        <w:t xml:space="preserve"> </w:t>
      </w:r>
      <w:r w:rsidR="00CE610E" w:rsidRPr="00F92A99">
        <w:t>M. (2025) An Introduction to Energy Demand Simulation with MAED. Climate Compatible Growth Teaching Kit Website. Climate Compatible Growth.</w:t>
      </w:r>
    </w:p>
    <w:p w14:paraId="17547947" w14:textId="356251AB" w:rsidR="000F35E3" w:rsidRDefault="003E1DC7" w:rsidP="00E469FB">
      <w:pPr>
        <w:jc w:val="both"/>
      </w:pPr>
      <w:r>
        <w:t>The following presents a small selection of manuals</w:t>
      </w:r>
      <w:r w:rsidR="009F4E44">
        <w:t xml:space="preserve">, </w:t>
      </w:r>
      <w:r>
        <w:t>academic papers</w:t>
      </w:r>
      <w:r w:rsidR="009F4E44">
        <w:t xml:space="preserve">, and government technical documents </w:t>
      </w:r>
      <w:r>
        <w:t xml:space="preserve">that </w:t>
      </w:r>
      <w:r w:rsidR="009F4E44">
        <w:t>will help students gain an understanding of how MAED can be used in national contexts</w:t>
      </w:r>
      <w:r w:rsidR="00700B90">
        <w:t xml:space="preserve">. However, it is not an exhaustive list of MAED studies and students should conduct a literature review as part of their </w:t>
      </w:r>
      <w:r w:rsidR="00E469FB">
        <w:t>project.</w:t>
      </w:r>
    </w:p>
    <w:p w14:paraId="68DC269B" w14:textId="7546498C" w:rsidR="00FA53B4" w:rsidRPr="00E03135" w:rsidRDefault="00135E0D" w:rsidP="00FA53B4">
      <w:pPr>
        <w:pStyle w:val="ListParagraph"/>
        <w:numPr>
          <w:ilvl w:val="0"/>
          <w:numId w:val="2"/>
        </w:numPr>
        <w:spacing w:after="0" w:line="240" w:lineRule="auto"/>
        <w:rPr>
          <w:rFonts w:eastAsia="Times New Roman" w:cs="Times New Roman"/>
          <w:kern w:val="0"/>
          <w:lang w:eastAsia="en-GB"/>
          <w14:ligatures w14:val="none"/>
        </w:rPr>
      </w:pPr>
      <w:r w:rsidRPr="00E03135">
        <w:rPr>
          <w:rFonts w:eastAsia="Times New Roman" w:cs="Times New Roman"/>
          <w:kern w:val="0"/>
          <w:lang w:eastAsia="en-GB"/>
          <w14:ligatures w14:val="none"/>
        </w:rPr>
        <w:t xml:space="preserve">IAEA. (2006). Model for Analysis of Energy Demand (MAED-2). In Computer Manual Series (18; Computer Manual Series, Issue 18). </w:t>
      </w:r>
      <w:hyperlink r:id="rId8" w:history="1">
        <w:r w:rsidRPr="00E03135">
          <w:rPr>
            <w:rStyle w:val="Hyperlink"/>
            <w:rFonts w:eastAsia="Times New Roman" w:cs="Times New Roman"/>
            <w:kern w:val="0"/>
            <w:lang w:eastAsia="en-GB"/>
            <w14:ligatures w14:val="none"/>
          </w:rPr>
          <w:t>https://www.iaea.org/publications/7430/model-for-analysis-of-energy-demand-maed-2</w:t>
        </w:r>
      </w:hyperlink>
    </w:p>
    <w:p w14:paraId="6C88EC6C" w14:textId="4EB604F3" w:rsidR="005A01C3" w:rsidRDefault="005A01C3" w:rsidP="005A01C3">
      <w:pPr>
        <w:jc w:val="both"/>
      </w:pPr>
      <w:r>
        <w:t>The manual for MAED</w:t>
      </w:r>
      <w:r w:rsidR="00135E0D">
        <w:t xml:space="preserve">. Contains </w:t>
      </w:r>
      <w:proofErr w:type="gramStart"/>
      <w:r w:rsidR="00135E0D">
        <w:t>all of</w:t>
      </w:r>
      <w:proofErr w:type="gramEnd"/>
      <w:r w:rsidR="00135E0D">
        <w:t xml:space="preserve"> the </w:t>
      </w:r>
      <w:r w:rsidR="00A422F9">
        <w:t xml:space="preserve">input parameters, derived parameters, and </w:t>
      </w:r>
      <w:r w:rsidR="000B0695">
        <w:t xml:space="preserve">equations used in the model, along with the </w:t>
      </w:r>
      <w:r w:rsidR="00530BF8">
        <w:t>justification of the methodology. Essential reading for troubleshooting models and advancing knowledge of the tool.</w:t>
      </w:r>
    </w:p>
    <w:p w14:paraId="7736B9B2" w14:textId="371F8358" w:rsidR="00530BF8" w:rsidRDefault="006A26EE" w:rsidP="00530BF8">
      <w:pPr>
        <w:pStyle w:val="ListParagraph"/>
        <w:numPr>
          <w:ilvl w:val="0"/>
          <w:numId w:val="2"/>
        </w:numPr>
        <w:jc w:val="both"/>
      </w:pPr>
      <w:proofErr w:type="spellStart"/>
      <w:r w:rsidRPr="006A26EE">
        <w:t>Akpahou</w:t>
      </w:r>
      <w:proofErr w:type="spellEnd"/>
      <w:r w:rsidRPr="006A26EE">
        <w:t xml:space="preserve">, R., Mensah, L. D., Quansah, D. A., &amp; Kemausuor, F. (2024). Energy planning and </w:t>
      </w:r>
      <w:proofErr w:type="spellStart"/>
      <w:r w:rsidRPr="006A26EE">
        <w:t>modeling</w:t>
      </w:r>
      <w:proofErr w:type="spellEnd"/>
      <w:r w:rsidRPr="006A26EE">
        <w:t xml:space="preserve"> tools for sustainable development: A systematic literature review. Energy Reports, 11(11), 830–845. </w:t>
      </w:r>
      <w:hyperlink r:id="rId9" w:history="1">
        <w:r w:rsidRPr="006617BD">
          <w:rPr>
            <w:rStyle w:val="Hyperlink"/>
          </w:rPr>
          <w:t>https://doi.org/10.1016/j.egyr.2023.11.043</w:t>
        </w:r>
      </w:hyperlink>
    </w:p>
    <w:p w14:paraId="0004B0E8" w14:textId="62071133" w:rsidR="006A26EE" w:rsidRDefault="006A26EE" w:rsidP="006A26EE">
      <w:pPr>
        <w:jc w:val="both"/>
      </w:pPr>
      <w:r>
        <w:t xml:space="preserve">Systematic review of </w:t>
      </w:r>
      <w:r w:rsidR="000261A5">
        <w:t xml:space="preserve">energy modelling tools, includes analysis of MAED, but also other tools that are widely used in the field. Provides good general overview </w:t>
      </w:r>
      <w:r w:rsidR="00E95318">
        <w:t>of the different modelling tools and approaches and their strengths and weaknesses.</w:t>
      </w:r>
    </w:p>
    <w:p w14:paraId="5D11A786" w14:textId="56194726" w:rsidR="00E95318" w:rsidRDefault="00874798" w:rsidP="00E95318">
      <w:pPr>
        <w:pStyle w:val="ListParagraph"/>
        <w:numPr>
          <w:ilvl w:val="0"/>
          <w:numId w:val="2"/>
        </w:numPr>
        <w:jc w:val="both"/>
      </w:pPr>
      <w:proofErr w:type="spellStart"/>
      <w:r w:rsidRPr="00874798">
        <w:t>Hainoun</w:t>
      </w:r>
      <w:proofErr w:type="spellEnd"/>
      <w:r w:rsidRPr="00874798">
        <w:t xml:space="preserve">, A., Seif-Eldin, M.K., </w:t>
      </w:r>
      <w:proofErr w:type="spellStart"/>
      <w:r w:rsidRPr="00874798">
        <w:t>Almoustafa</w:t>
      </w:r>
      <w:proofErr w:type="spellEnd"/>
      <w:r w:rsidRPr="00874798">
        <w:t>, S. (2006). Analysis of the Syrian long-term energy and electricity demand projection using the end-use methodology. Energy Policy, 34(14), 1958-1970. DOI: 10.1016/j.enpol.2004.12.024</w:t>
      </w:r>
      <w:r w:rsidR="00454377">
        <w:t xml:space="preserve"> </w:t>
      </w:r>
    </w:p>
    <w:p w14:paraId="6889995E" w14:textId="6945E708" w:rsidR="00874798" w:rsidRDefault="000F35E3" w:rsidP="00874798">
      <w:pPr>
        <w:jc w:val="both"/>
      </w:pPr>
      <w:r w:rsidRPr="000F35E3">
        <w:t>Excellent qualitative and quantitative description of scenarios. Scenarios vary according to demographic, economic, lifestyle, and technological variations. Energy efficiency improvements investigated in all consumption sectors as well as the replacement of fossil fuels for solar in heating end uses.</w:t>
      </w:r>
    </w:p>
    <w:p w14:paraId="369D2C18" w14:textId="0A80871B" w:rsidR="000F35E3" w:rsidRDefault="00B66E29" w:rsidP="00B66E29">
      <w:pPr>
        <w:pStyle w:val="ListParagraph"/>
        <w:numPr>
          <w:ilvl w:val="0"/>
          <w:numId w:val="2"/>
        </w:numPr>
        <w:jc w:val="both"/>
      </w:pPr>
      <w:r w:rsidRPr="00B66E29">
        <w:t xml:space="preserve">Yuksek, O., </w:t>
      </w:r>
      <w:proofErr w:type="spellStart"/>
      <w:r w:rsidRPr="00B66E29">
        <w:t>Komurcu</w:t>
      </w:r>
      <w:proofErr w:type="spellEnd"/>
      <w:r w:rsidRPr="00B66E29">
        <w:t xml:space="preserve">, M. I., Yuksel, I., &amp; Kaygusuz, K. (2006). The role of hydropower in meeting Turkey’s electric energy demand. Energy Policy, 34, 3093–3103. </w:t>
      </w:r>
      <w:hyperlink r:id="rId10" w:history="1">
        <w:r w:rsidRPr="006617BD">
          <w:rPr>
            <w:rStyle w:val="Hyperlink"/>
          </w:rPr>
          <w:t>https://doi.org/10.1016/j.enpol.2005.06.005</w:t>
        </w:r>
      </w:hyperlink>
    </w:p>
    <w:p w14:paraId="71D5B13B" w14:textId="39ECA5D2" w:rsidR="00B66E29" w:rsidRDefault="00454377" w:rsidP="00B66E29">
      <w:pPr>
        <w:jc w:val="both"/>
      </w:pPr>
      <w:r w:rsidRPr="00454377">
        <w:t>Study assesses Turkey's hydropower potential, including small hydropower facilities. It links this with the MAED-simulated electricity demand over the model period and assesses how much of that can be met by hydropower. The MAED scenarios investigated vary GNP values and industrial production.</w:t>
      </w:r>
    </w:p>
    <w:p w14:paraId="6D718D7E" w14:textId="4DCA5201" w:rsidR="00454377" w:rsidRDefault="00A1765F" w:rsidP="00454377">
      <w:pPr>
        <w:pStyle w:val="ListParagraph"/>
        <w:numPr>
          <w:ilvl w:val="0"/>
          <w:numId w:val="2"/>
        </w:numPr>
        <w:jc w:val="both"/>
      </w:pPr>
      <w:r w:rsidRPr="00A1765F">
        <w:lastRenderedPageBreak/>
        <w:t xml:space="preserve">Gad, K. S., </w:t>
      </w:r>
      <w:proofErr w:type="spellStart"/>
      <w:r w:rsidRPr="00A1765F">
        <w:t>Crevani</w:t>
      </w:r>
      <w:proofErr w:type="spellEnd"/>
      <w:r w:rsidRPr="00A1765F">
        <w:t xml:space="preserve">, G., &amp; Colombo, E. (2025). An integrated modelling framework to address the energy trilemma in Egypt and Nile East Basin. Energy Strategy Reviews, 58. </w:t>
      </w:r>
      <w:hyperlink r:id="rId11" w:history="1">
        <w:r w:rsidRPr="006617BD">
          <w:rPr>
            <w:rStyle w:val="Hyperlink"/>
          </w:rPr>
          <w:t>https://doi.org/10.1016/j.esr.2025.101689</w:t>
        </w:r>
      </w:hyperlink>
    </w:p>
    <w:p w14:paraId="5CA560D1" w14:textId="32CF7A4D" w:rsidR="00A1765F" w:rsidRDefault="003B075B" w:rsidP="003B075B">
      <w:pPr>
        <w:jc w:val="both"/>
      </w:pPr>
      <w:r w:rsidRPr="003B075B">
        <w:t xml:space="preserve">Study couples an Input Output Analysis using MARIO with MAED to generate energy intensity values. It also links MAED with </w:t>
      </w:r>
      <w:proofErr w:type="spellStart"/>
      <w:r w:rsidRPr="003B075B">
        <w:t>OSeMSOSY</w:t>
      </w:r>
      <w:proofErr w:type="spellEnd"/>
      <w:r w:rsidRPr="003B075B">
        <w:t xml:space="preserve"> to conduct a full demand and supply side analysis. The scenarios vary GDP and population growth rates (HEG) and energy intensities (IEE)</w:t>
      </w:r>
      <w:r>
        <w:t>.</w:t>
      </w:r>
    </w:p>
    <w:p w14:paraId="07EB78A2" w14:textId="0F16BE00" w:rsidR="00D267B5" w:rsidRDefault="00D267B5" w:rsidP="00D267B5">
      <w:pPr>
        <w:pStyle w:val="ListParagraph"/>
        <w:numPr>
          <w:ilvl w:val="0"/>
          <w:numId w:val="2"/>
        </w:numPr>
        <w:jc w:val="both"/>
      </w:pPr>
      <w:r w:rsidRPr="00D267B5">
        <w:t>Shrestha, R. M., &amp; Bhattarai, G. B. (1995). Utility Planning Implications of Efficient Electric Cooking in a Developing Country: Case of Nepal. Energy, 20(3), 195–203</w:t>
      </w:r>
    </w:p>
    <w:p w14:paraId="36836E16" w14:textId="55FDD3E0" w:rsidR="00D267B5" w:rsidRDefault="00E03135" w:rsidP="00D267B5">
      <w:pPr>
        <w:jc w:val="both"/>
      </w:pPr>
      <w:r w:rsidRPr="00E03135">
        <w:t>Study links MAED and WASP to investigate the efficacy of demand side management techniques in cooking to promote load growth during the wet season.</w:t>
      </w:r>
    </w:p>
    <w:p w14:paraId="447F8885" w14:textId="16D79AC0" w:rsidR="003C11AB" w:rsidRDefault="00A6436A" w:rsidP="003C11AB">
      <w:pPr>
        <w:pStyle w:val="ListParagraph"/>
        <w:numPr>
          <w:ilvl w:val="0"/>
          <w:numId w:val="2"/>
        </w:numPr>
        <w:jc w:val="both"/>
      </w:pPr>
      <w:r w:rsidRPr="00A6436A">
        <w:t>Hakizimana, J.D.K., Yoon, S.P., Kang, T.J., Kim, H.T., Jeon, Y.S., Choi, Y.C. (2016). Potential for peat-to-power usage in Rwanda and associated implications. Energy Strategy Reviews, 13-14, 222-235. DOI: 10.1016/j.esr.2016.04.001</w:t>
      </w:r>
    </w:p>
    <w:p w14:paraId="31F0ED88" w14:textId="129672A5" w:rsidR="00A6436A" w:rsidRDefault="003C11AB" w:rsidP="003C11AB">
      <w:pPr>
        <w:pStyle w:val="ListParagraph"/>
        <w:numPr>
          <w:ilvl w:val="0"/>
          <w:numId w:val="2"/>
        </w:numPr>
        <w:jc w:val="both"/>
      </w:pPr>
      <w:r w:rsidRPr="003C11AB">
        <w:t xml:space="preserve">Dountio, E.G., </w:t>
      </w:r>
      <w:proofErr w:type="spellStart"/>
      <w:r w:rsidRPr="003C11AB">
        <w:t>Meukam</w:t>
      </w:r>
      <w:proofErr w:type="spellEnd"/>
      <w:r w:rsidRPr="003C11AB">
        <w:t>, P., Tchaptchet, D.L.P., Ango, L.E.O., Simo, A. (2016). Electricity generation technology options under the greenhouse gases mitigation scenario: Case study of Cameroon. Energy Strategy Reviews, 13, 191-211. DOI: 10.1016/j.esr.2016.10.003.</w:t>
      </w:r>
    </w:p>
    <w:p w14:paraId="6630572B" w14:textId="265F0E12" w:rsidR="002F03E0" w:rsidRDefault="002F03E0" w:rsidP="003C11AB">
      <w:pPr>
        <w:pStyle w:val="ListParagraph"/>
        <w:numPr>
          <w:ilvl w:val="0"/>
          <w:numId w:val="2"/>
        </w:numPr>
        <w:jc w:val="both"/>
      </w:pPr>
      <w:r w:rsidRPr="002F03E0">
        <w:t>Battulga, s., Dhakal, S. (2023) Energy Demand Modelling for the Transition of a Coal-Dependent City to a Low-Carbon City: The Case of Ulaanbaatar City. Energies. 16(17), 6291. DOI: 10.3390/en16176291</w:t>
      </w:r>
    </w:p>
    <w:p w14:paraId="7D3983A6" w14:textId="3A284906" w:rsidR="002F03E0" w:rsidRDefault="00F05C6E" w:rsidP="00F05C6E">
      <w:pPr>
        <w:jc w:val="both"/>
      </w:pPr>
      <w:r w:rsidRPr="00F05C6E">
        <w:t>City focus. Scenarios constructed by varying demographic, economic, and technological parameters.</w:t>
      </w:r>
    </w:p>
    <w:p w14:paraId="57326C93" w14:textId="0CB38451" w:rsidR="00F05C6E" w:rsidRDefault="003B473B" w:rsidP="00F05C6E">
      <w:pPr>
        <w:pStyle w:val="ListParagraph"/>
        <w:numPr>
          <w:ilvl w:val="0"/>
          <w:numId w:val="2"/>
        </w:numPr>
        <w:jc w:val="both"/>
      </w:pPr>
      <w:r w:rsidRPr="003B473B">
        <w:t xml:space="preserve">Fields, N., Collier, W., Kiley, F., Caulker, D., Blyth, W., Howells, M., &amp; Brown, E. (2024). Long-Term Forecasting: A MAED Application for Sierra Leone’s Electricity Demand (2023–2050). Energies, 17(12). </w:t>
      </w:r>
      <w:hyperlink r:id="rId12" w:history="1">
        <w:r w:rsidRPr="006617BD">
          <w:rPr>
            <w:rStyle w:val="Hyperlink"/>
          </w:rPr>
          <w:t>https://doi.org/10.3390/en17122878</w:t>
        </w:r>
      </w:hyperlink>
    </w:p>
    <w:p w14:paraId="41DE1BD8" w14:textId="7735E03B" w:rsidR="003B473B" w:rsidRDefault="00BB3110" w:rsidP="003B473B">
      <w:pPr>
        <w:jc w:val="both"/>
      </w:pPr>
      <w:r w:rsidRPr="00BB3110">
        <w:t>Baseline, High, Low. GDP growth and sectoral share as well as population growth changed to create high and low demands.</w:t>
      </w:r>
      <w:r w:rsidRPr="00BB3110">
        <w:tab/>
        <w:t>Detailed results and input parameters presented.</w:t>
      </w:r>
      <w:r>
        <w:t xml:space="preserve"> Focus on electricity demand.</w:t>
      </w:r>
    </w:p>
    <w:p w14:paraId="2E88E71A" w14:textId="77777777" w:rsidR="00BB3110" w:rsidRPr="003E1DC7" w:rsidRDefault="00BB3110" w:rsidP="003B473B">
      <w:pPr>
        <w:jc w:val="both"/>
      </w:pPr>
    </w:p>
    <w:sectPr w:rsidR="00BB3110" w:rsidRPr="003E1DC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FC72" w14:textId="77777777" w:rsidR="00DA2E6E" w:rsidRDefault="00DA2E6E" w:rsidP="00DA2E6E">
      <w:pPr>
        <w:spacing w:after="0" w:line="240" w:lineRule="auto"/>
      </w:pPr>
      <w:r>
        <w:separator/>
      </w:r>
    </w:p>
  </w:endnote>
  <w:endnote w:type="continuationSeparator" w:id="0">
    <w:p w14:paraId="7B4C2EDA" w14:textId="77777777" w:rsidR="00DA2E6E" w:rsidRDefault="00DA2E6E" w:rsidP="00DA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05A9FE" w14:paraId="5AC3204A" w14:textId="77777777" w:rsidTr="7005A9FE">
      <w:trPr>
        <w:trHeight w:val="300"/>
      </w:trPr>
      <w:tc>
        <w:tcPr>
          <w:tcW w:w="3005" w:type="dxa"/>
        </w:tcPr>
        <w:p w14:paraId="132E6ED5" w14:textId="0119FA92" w:rsidR="7005A9FE" w:rsidRDefault="7005A9FE" w:rsidP="7005A9FE">
          <w:pPr>
            <w:pStyle w:val="Header"/>
            <w:ind w:left="-115"/>
          </w:pPr>
        </w:p>
      </w:tc>
      <w:tc>
        <w:tcPr>
          <w:tcW w:w="3005" w:type="dxa"/>
        </w:tcPr>
        <w:p w14:paraId="14124830" w14:textId="19DEC71F" w:rsidR="7005A9FE" w:rsidRDefault="7005A9FE" w:rsidP="7005A9FE">
          <w:pPr>
            <w:pStyle w:val="Header"/>
            <w:jc w:val="center"/>
          </w:pPr>
        </w:p>
      </w:tc>
      <w:tc>
        <w:tcPr>
          <w:tcW w:w="3005" w:type="dxa"/>
        </w:tcPr>
        <w:p w14:paraId="2A69502F" w14:textId="15282737" w:rsidR="7005A9FE" w:rsidRDefault="7005A9FE" w:rsidP="7005A9FE">
          <w:pPr>
            <w:pStyle w:val="Header"/>
            <w:ind w:right="-115"/>
            <w:jc w:val="right"/>
          </w:pPr>
        </w:p>
      </w:tc>
    </w:tr>
  </w:tbl>
  <w:p w14:paraId="4E42C867" w14:textId="5C7A4AF5" w:rsidR="7005A9FE" w:rsidRDefault="7005A9FE" w:rsidP="7005A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E438" w14:textId="77777777" w:rsidR="00DA2E6E" w:rsidRDefault="00DA2E6E" w:rsidP="00DA2E6E">
      <w:pPr>
        <w:spacing w:after="0" w:line="240" w:lineRule="auto"/>
      </w:pPr>
      <w:r>
        <w:separator/>
      </w:r>
    </w:p>
  </w:footnote>
  <w:footnote w:type="continuationSeparator" w:id="0">
    <w:p w14:paraId="73691EE1" w14:textId="77777777" w:rsidR="00DA2E6E" w:rsidRDefault="00DA2E6E" w:rsidP="00DA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736" w14:textId="0E36E2E3" w:rsidR="00DA2E6E" w:rsidRDefault="003E1DC7">
    <w:pPr>
      <w:pStyle w:val="Header"/>
    </w:pPr>
    <w:r>
      <w:rPr>
        <w:noProof/>
      </w:rPr>
      <w:drawing>
        <wp:anchor distT="114300" distB="114300" distL="114300" distR="114300" simplePos="0" relativeHeight="251659264" behindDoc="1" locked="0" layoutInCell="1" hidden="0" allowOverlap="1" wp14:anchorId="4CDA487B" wp14:editId="3EE82D2D">
          <wp:simplePos x="0" y="0"/>
          <wp:positionH relativeFrom="rightMargin">
            <wp:posOffset>-11920</wp:posOffset>
          </wp:positionH>
          <wp:positionV relativeFrom="paragraph">
            <wp:posOffset>-355182</wp:posOffset>
          </wp:positionV>
          <wp:extent cx="809625" cy="809625"/>
          <wp:effectExtent l="0" t="0" r="9525"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809625"/>
                  </a:xfrm>
                  <a:prstGeom prst="rect">
                    <a:avLst/>
                  </a:prstGeom>
                  <a:ln/>
                </pic:spPr>
              </pic:pic>
            </a:graphicData>
          </a:graphic>
        </wp:anchor>
      </w:drawing>
    </w:r>
    <w:r>
      <w:rPr>
        <w:noProof/>
      </w:rPr>
      <w:drawing>
        <wp:anchor distT="0" distB="0" distL="114300" distR="114300" simplePos="0" relativeHeight="251661312" behindDoc="0" locked="0" layoutInCell="1" allowOverlap="1" wp14:anchorId="376E531F" wp14:editId="0988BE0C">
          <wp:simplePos x="0" y="0"/>
          <wp:positionH relativeFrom="column">
            <wp:posOffset>2727960</wp:posOffset>
          </wp:positionH>
          <wp:positionV relativeFrom="paragraph">
            <wp:posOffset>-300396</wp:posOffset>
          </wp:positionV>
          <wp:extent cx="977265" cy="770255"/>
          <wp:effectExtent l="0" t="0" r="0" b="0"/>
          <wp:wrapNone/>
          <wp:docPr id="141239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90659" name="Picture 1412390659"/>
                  <pic:cNvPicPr/>
                </pic:nvPicPr>
                <pic:blipFill>
                  <a:blip r:embed="rId2">
                    <a:extLst>
                      <a:ext uri="{28A0092B-C50C-407E-A947-70E740481C1C}">
                        <a14:useLocalDpi xmlns:a14="http://schemas.microsoft.com/office/drawing/2010/main" val="0"/>
                      </a:ext>
                    </a:extLst>
                  </a:blip>
                  <a:stretch>
                    <a:fillRect/>
                  </a:stretch>
                </pic:blipFill>
                <pic:spPr>
                  <a:xfrm>
                    <a:off x="0" y="0"/>
                    <a:ext cx="977265" cy="770255"/>
                  </a:xfrm>
                  <a:prstGeom prst="rect">
                    <a:avLst/>
                  </a:prstGeom>
                </pic:spPr>
              </pic:pic>
            </a:graphicData>
          </a:graphic>
        </wp:anchor>
      </w:drawing>
    </w:r>
    <w:r>
      <w:rPr>
        <w:noProof/>
      </w:rPr>
      <w:drawing>
        <wp:anchor distT="57150" distB="57150" distL="57150" distR="57150" simplePos="0" relativeHeight="251660288" behindDoc="1" locked="0" layoutInCell="1" hidden="0" allowOverlap="1" wp14:anchorId="4F3A478D" wp14:editId="21B55A17">
          <wp:simplePos x="0" y="0"/>
          <wp:positionH relativeFrom="column">
            <wp:posOffset>-914400</wp:posOffset>
          </wp:positionH>
          <wp:positionV relativeFrom="paragraph">
            <wp:posOffset>-447040</wp:posOffset>
          </wp:positionV>
          <wp:extent cx="2661920" cy="8108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661920" cy="8108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F44"/>
    <w:multiLevelType w:val="hybridMultilevel"/>
    <w:tmpl w:val="430EC0EC"/>
    <w:lvl w:ilvl="0" w:tplc="F28EC064">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35D1"/>
    <w:multiLevelType w:val="hybridMultilevel"/>
    <w:tmpl w:val="D8E6A7F2"/>
    <w:lvl w:ilvl="0" w:tplc="75A48B56">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145381">
    <w:abstractNumId w:val="1"/>
  </w:num>
  <w:num w:numId="2" w16cid:durableId="164353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56"/>
    <w:rsid w:val="000261A5"/>
    <w:rsid w:val="00064EE2"/>
    <w:rsid w:val="000B0695"/>
    <w:rsid w:val="000F35E3"/>
    <w:rsid w:val="0010717E"/>
    <w:rsid w:val="00135E0D"/>
    <w:rsid w:val="002A3A8F"/>
    <w:rsid w:val="002F03E0"/>
    <w:rsid w:val="00393872"/>
    <w:rsid w:val="003B075B"/>
    <w:rsid w:val="003B473B"/>
    <w:rsid w:val="003C11AB"/>
    <w:rsid w:val="003E1DC7"/>
    <w:rsid w:val="00454377"/>
    <w:rsid w:val="00530BF8"/>
    <w:rsid w:val="005A01C3"/>
    <w:rsid w:val="006A26EE"/>
    <w:rsid w:val="00700B90"/>
    <w:rsid w:val="00795225"/>
    <w:rsid w:val="00833004"/>
    <w:rsid w:val="00874798"/>
    <w:rsid w:val="009C52D7"/>
    <w:rsid w:val="009F4E44"/>
    <w:rsid w:val="00A1765F"/>
    <w:rsid w:val="00A422F9"/>
    <w:rsid w:val="00A6436A"/>
    <w:rsid w:val="00AB7156"/>
    <w:rsid w:val="00B66E29"/>
    <w:rsid w:val="00BB3110"/>
    <w:rsid w:val="00BC7832"/>
    <w:rsid w:val="00C23B50"/>
    <w:rsid w:val="00CE610E"/>
    <w:rsid w:val="00D267B5"/>
    <w:rsid w:val="00DA2E6E"/>
    <w:rsid w:val="00E03135"/>
    <w:rsid w:val="00E469FB"/>
    <w:rsid w:val="00E95318"/>
    <w:rsid w:val="00EE77DA"/>
    <w:rsid w:val="00F05C6E"/>
    <w:rsid w:val="00FA53B4"/>
    <w:rsid w:val="7005A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DCB6"/>
  <w15:chartTrackingRefBased/>
  <w15:docId w15:val="{EB944782-B1FD-4FB6-A9E7-432B1503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156"/>
    <w:rPr>
      <w:rFonts w:eastAsiaTheme="majorEastAsia" w:cstheme="majorBidi"/>
      <w:color w:val="272727" w:themeColor="text1" w:themeTint="D8"/>
    </w:rPr>
  </w:style>
  <w:style w:type="paragraph" w:styleId="Title">
    <w:name w:val="Title"/>
    <w:basedOn w:val="Normal"/>
    <w:next w:val="Normal"/>
    <w:link w:val="TitleChar"/>
    <w:uiPriority w:val="10"/>
    <w:qFormat/>
    <w:rsid w:val="00AB7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156"/>
    <w:pPr>
      <w:spacing w:before="160"/>
      <w:jc w:val="center"/>
    </w:pPr>
    <w:rPr>
      <w:i/>
      <w:iCs/>
      <w:color w:val="404040" w:themeColor="text1" w:themeTint="BF"/>
    </w:rPr>
  </w:style>
  <w:style w:type="character" w:customStyle="1" w:styleId="QuoteChar">
    <w:name w:val="Quote Char"/>
    <w:basedOn w:val="DefaultParagraphFont"/>
    <w:link w:val="Quote"/>
    <w:uiPriority w:val="29"/>
    <w:rsid w:val="00AB7156"/>
    <w:rPr>
      <w:i/>
      <w:iCs/>
      <w:color w:val="404040" w:themeColor="text1" w:themeTint="BF"/>
    </w:rPr>
  </w:style>
  <w:style w:type="paragraph" w:styleId="ListParagraph">
    <w:name w:val="List Paragraph"/>
    <w:basedOn w:val="Normal"/>
    <w:uiPriority w:val="34"/>
    <w:qFormat/>
    <w:rsid w:val="00AB7156"/>
    <w:pPr>
      <w:ind w:left="720"/>
      <w:contextualSpacing/>
    </w:pPr>
  </w:style>
  <w:style w:type="character" w:styleId="IntenseEmphasis">
    <w:name w:val="Intense Emphasis"/>
    <w:basedOn w:val="DefaultParagraphFont"/>
    <w:uiPriority w:val="21"/>
    <w:qFormat/>
    <w:rsid w:val="00AB7156"/>
    <w:rPr>
      <w:i/>
      <w:iCs/>
      <w:color w:val="0F4761" w:themeColor="accent1" w:themeShade="BF"/>
    </w:rPr>
  </w:style>
  <w:style w:type="paragraph" w:styleId="IntenseQuote">
    <w:name w:val="Intense Quote"/>
    <w:basedOn w:val="Normal"/>
    <w:next w:val="Normal"/>
    <w:link w:val="IntenseQuoteChar"/>
    <w:uiPriority w:val="30"/>
    <w:qFormat/>
    <w:rsid w:val="00AB7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56"/>
    <w:rPr>
      <w:i/>
      <w:iCs/>
      <w:color w:val="0F4761" w:themeColor="accent1" w:themeShade="BF"/>
    </w:rPr>
  </w:style>
  <w:style w:type="character" w:styleId="IntenseReference">
    <w:name w:val="Intense Reference"/>
    <w:basedOn w:val="DefaultParagraphFont"/>
    <w:uiPriority w:val="32"/>
    <w:qFormat/>
    <w:rsid w:val="00AB7156"/>
    <w:rPr>
      <w:b/>
      <w:bCs/>
      <w:smallCaps/>
      <w:color w:val="0F4761" w:themeColor="accent1" w:themeShade="BF"/>
      <w:spacing w:val="5"/>
    </w:rPr>
  </w:style>
  <w:style w:type="paragraph" w:styleId="Header">
    <w:name w:val="header"/>
    <w:basedOn w:val="Normal"/>
    <w:link w:val="HeaderChar"/>
    <w:uiPriority w:val="99"/>
    <w:unhideWhenUsed/>
    <w:rsid w:val="00DA2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E6E"/>
  </w:style>
  <w:style w:type="paragraph" w:styleId="Footer">
    <w:name w:val="footer"/>
    <w:basedOn w:val="Normal"/>
    <w:link w:val="FooterChar"/>
    <w:uiPriority w:val="99"/>
    <w:unhideWhenUsed/>
    <w:rsid w:val="00DA2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E6E"/>
  </w:style>
  <w:style w:type="character" w:styleId="Hyperlink">
    <w:name w:val="Hyperlink"/>
    <w:basedOn w:val="DefaultParagraphFont"/>
    <w:uiPriority w:val="99"/>
    <w:unhideWhenUsed/>
    <w:rsid w:val="005A01C3"/>
    <w:rPr>
      <w:color w:val="467886" w:themeColor="hyperlink"/>
      <w:u w:val="single"/>
    </w:rPr>
  </w:style>
  <w:style w:type="character" w:styleId="UnresolvedMention">
    <w:name w:val="Unresolved Mention"/>
    <w:basedOn w:val="DefaultParagraphFont"/>
    <w:uiPriority w:val="99"/>
    <w:semiHidden/>
    <w:unhideWhenUsed/>
    <w:rsid w:val="005A01C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390">
      <w:bodyDiv w:val="1"/>
      <w:marLeft w:val="0"/>
      <w:marRight w:val="0"/>
      <w:marTop w:val="0"/>
      <w:marBottom w:val="0"/>
      <w:divBdr>
        <w:top w:val="none" w:sz="0" w:space="0" w:color="auto"/>
        <w:left w:val="none" w:sz="0" w:space="0" w:color="auto"/>
        <w:bottom w:val="none" w:sz="0" w:space="0" w:color="auto"/>
        <w:right w:val="none" w:sz="0" w:space="0" w:color="auto"/>
      </w:divBdr>
    </w:div>
    <w:div w:id="289821241">
      <w:bodyDiv w:val="1"/>
      <w:marLeft w:val="0"/>
      <w:marRight w:val="0"/>
      <w:marTop w:val="0"/>
      <w:marBottom w:val="0"/>
      <w:divBdr>
        <w:top w:val="none" w:sz="0" w:space="0" w:color="auto"/>
        <w:left w:val="none" w:sz="0" w:space="0" w:color="auto"/>
        <w:bottom w:val="none" w:sz="0" w:space="0" w:color="auto"/>
        <w:right w:val="none" w:sz="0" w:space="0" w:color="auto"/>
      </w:divBdr>
      <w:divsChild>
        <w:div w:id="371073310">
          <w:marLeft w:val="0"/>
          <w:marRight w:val="0"/>
          <w:marTop w:val="0"/>
          <w:marBottom w:val="0"/>
          <w:divBdr>
            <w:top w:val="none" w:sz="0" w:space="0" w:color="auto"/>
            <w:left w:val="none" w:sz="0" w:space="0" w:color="auto"/>
            <w:bottom w:val="none" w:sz="0" w:space="0" w:color="auto"/>
            <w:right w:val="none" w:sz="0" w:space="0" w:color="auto"/>
          </w:divBdr>
        </w:div>
      </w:divsChild>
    </w:div>
    <w:div w:id="325671475">
      <w:bodyDiv w:val="1"/>
      <w:marLeft w:val="0"/>
      <w:marRight w:val="0"/>
      <w:marTop w:val="0"/>
      <w:marBottom w:val="0"/>
      <w:divBdr>
        <w:top w:val="none" w:sz="0" w:space="0" w:color="auto"/>
        <w:left w:val="none" w:sz="0" w:space="0" w:color="auto"/>
        <w:bottom w:val="none" w:sz="0" w:space="0" w:color="auto"/>
        <w:right w:val="none" w:sz="0" w:space="0" w:color="auto"/>
      </w:divBdr>
    </w:div>
    <w:div w:id="357197243">
      <w:bodyDiv w:val="1"/>
      <w:marLeft w:val="0"/>
      <w:marRight w:val="0"/>
      <w:marTop w:val="0"/>
      <w:marBottom w:val="0"/>
      <w:divBdr>
        <w:top w:val="none" w:sz="0" w:space="0" w:color="auto"/>
        <w:left w:val="none" w:sz="0" w:space="0" w:color="auto"/>
        <w:bottom w:val="none" w:sz="0" w:space="0" w:color="auto"/>
        <w:right w:val="none" w:sz="0" w:space="0" w:color="auto"/>
      </w:divBdr>
    </w:div>
    <w:div w:id="509564957">
      <w:bodyDiv w:val="1"/>
      <w:marLeft w:val="0"/>
      <w:marRight w:val="0"/>
      <w:marTop w:val="0"/>
      <w:marBottom w:val="0"/>
      <w:divBdr>
        <w:top w:val="none" w:sz="0" w:space="0" w:color="auto"/>
        <w:left w:val="none" w:sz="0" w:space="0" w:color="auto"/>
        <w:bottom w:val="none" w:sz="0" w:space="0" w:color="auto"/>
        <w:right w:val="none" w:sz="0" w:space="0" w:color="auto"/>
      </w:divBdr>
    </w:div>
    <w:div w:id="511528418">
      <w:bodyDiv w:val="1"/>
      <w:marLeft w:val="0"/>
      <w:marRight w:val="0"/>
      <w:marTop w:val="0"/>
      <w:marBottom w:val="0"/>
      <w:divBdr>
        <w:top w:val="none" w:sz="0" w:space="0" w:color="auto"/>
        <w:left w:val="none" w:sz="0" w:space="0" w:color="auto"/>
        <w:bottom w:val="none" w:sz="0" w:space="0" w:color="auto"/>
        <w:right w:val="none" w:sz="0" w:space="0" w:color="auto"/>
      </w:divBdr>
      <w:divsChild>
        <w:div w:id="1071269383">
          <w:marLeft w:val="0"/>
          <w:marRight w:val="0"/>
          <w:marTop w:val="0"/>
          <w:marBottom w:val="0"/>
          <w:divBdr>
            <w:top w:val="none" w:sz="0" w:space="0" w:color="auto"/>
            <w:left w:val="none" w:sz="0" w:space="0" w:color="auto"/>
            <w:bottom w:val="none" w:sz="0" w:space="0" w:color="auto"/>
            <w:right w:val="none" w:sz="0" w:space="0" w:color="auto"/>
          </w:divBdr>
        </w:div>
      </w:divsChild>
    </w:div>
    <w:div w:id="600534143">
      <w:bodyDiv w:val="1"/>
      <w:marLeft w:val="0"/>
      <w:marRight w:val="0"/>
      <w:marTop w:val="0"/>
      <w:marBottom w:val="0"/>
      <w:divBdr>
        <w:top w:val="none" w:sz="0" w:space="0" w:color="auto"/>
        <w:left w:val="none" w:sz="0" w:space="0" w:color="auto"/>
        <w:bottom w:val="none" w:sz="0" w:space="0" w:color="auto"/>
        <w:right w:val="none" w:sz="0" w:space="0" w:color="auto"/>
      </w:divBdr>
    </w:div>
    <w:div w:id="738408855">
      <w:bodyDiv w:val="1"/>
      <w:marLeft w:val="0"/>
      <w:marRight w:val="0"/>
      <w:marTop w:val="0"/>
      <w:marBottom w:val="0"/>
      <w:divBdr>
        <w:top w:val="none" w:sz="0" w:space="0" w:color="auto"/>
        <w:left w:val="none" w:sz="0" w:space="0" w:color="auto"/>
        <w:bottom w:val="none" w:sz="0" w:space="0" w:color="auto"/>
        <w:right w:val="none" w:sz="0" w:space="0" w:color="auto"/>
      </w:divBdr>
      <w:divsChild>
        <w:div w:id="2115635889">
          <w:marLeft w:val="0"/>
          <w:marRight w:val="0"/>
          <w:marTop w:val="0"/>
          <w:marBottom w:val="0"/>
          <w:divBdr>
            <w:top w:val="none" w:sz="0" w:space="0" w:color="auto"/>
            <w:left w:val="none" w:sz="0" w:space="0" w:color="auto"/>
            <w:bottom w:val="none" w:sz="0" w:space="0" w:color="auto"/>
            <w:right w:val="none" w:sz="0" w:space="0" w:color="auto"/>
          </w:divBdr>
        </w:div>
      </w:divsChild>
    </w:div>
    <w:div w:id="804274294">
      <w:bodyDiv w:val="1"/>
      <w:marLeft w:val="0"/>
      <w:marRight w:val="0"/>
      <w:marTop w:val="0"/>
      <w:marBottom w:val="0"/>
      <w:divBdr>
        <w:top w:val="none" w:sz="0" w:space="0" w:color="auto"/>
        <w:left w:val="none" w:sz="0" w:space="0" w:color="auto"/>
        <w:bottom w:val="none" w:sz="0" w:space="0" w:color="auto"/>
        <w:right w:val="none" w:sz="0" w:space="0" w:color="auto"/>
      </w:divBdr>
    </w:div>
    <w:div w:id="934215690">
      <w:bodyDiv w:val="1"/>
      <w:marLeft w:val="0"/>
      <w:marRight w:val="0"/>
      <w:marTop w:val="0"/>
      <w:marBottom w:val="0"/>
      <w:divBdr>
        <w:top w:val="none" w:sz="0" w:space="0" w:color="auto"/>
        <w:left w:val="none" w:sz="0" w:space="0" w:color="auto"/>
        <w:bottom w:val="none" w:sz="0" w:space="0" w:color="auto"/>
        <w:right w:val="none" w:sz="0" w:space="0" w:color="auto"/>
      </w:divBdr>
    </w:div>
    <w:div w:id="1009068149">
      <w:bodyDiv w:val="1"/>
      <w:marLeft w:val="0"/>
      <w:marRight w:val="0"/>
      <w:marTop w:val="0"/>
      <w:marBottom w:val="0"/>
      <w:divBdr>
        <w:top w:val="none" w:sz="0" w:space="0" w:color="auto"/>
        <w:left w:val="none" w:sz="0" w:space="0" w:color="auto"/>
        <w:bottom w:val="none" w:sz="0" w:space="0" w:color="auto"/>
        <w:right w:val="none" w:sz="0" w:space="0" w:color="auto"/>
      </w:divBdr>
    </w:div>
    <w:div w:id="1247109417">
      <w:bodyDiv w:val="1"/>
      <w:marLeft w:val="0"/>
      <w:marRight w:val="0"/>
      <w:marTop w:val="0"/>
      <w:marBottom w:val="0"/>
      <w:divBdr>
        <w:top w:val="none" w:sz="0" w:space="0" w:color="auto"/>
        <w:left w:val="none" w:sz="0" w:space="0" w:color="auto"/>
        <w:bottom w:val="none" w:sz="0" w:space="0" w:color="auto"/>
        <w:right w:val="none" w:sz="0" w:space="0" w:color="auto"/>
      </w:divBdr>
      <w:divsChild>
        <w:div w:id="535509451">
          <w:marLeft w:val="0"/>
          <w:marRight w:val="0"/>
          <w:marTop w:val="0"/>
          <w:marBottom w:val="0"/>
          <w:divBdr>
            <w:top w:val="none" w:sz="0" w:space="0" w:color="auto"/>
            <w:left w:val="none" w:sz="0" w:space="0" w:color="auto"/>
            <w:bottom w:val="none" w:sz="0" w:space="0" w:color="auto"/>
            <w:right w:val="none" w:sz="0" w:space="0" w:color="auto"/>
          </w:divBdr>
        </w:div>
      </w:divsChild>
    </w:div>
    <w:div w:id="1346831035">
      <w:bodyDiv w:val="1"/>
      <w:marLeft w:val="0"/>
      <w:marRight w:val="0"/>
      <w:marTop w:val="0"/>
      <w:marBottom w:val="0"/>
      <w:divBdr>
        <w:top w:val="none" w:sz="0" w:space="0" w:color="auto"/>
        <w:left w:val="none" w:sz="0" w:space="0" w:color="auto"/>
        <w:bottom w:val="none" w:sz="0" w:space="0" w:color="auto"/>
        <w:right w:val="none" w:sz="0" w:space="0" w:color="auto"/>
      </w:divBdr>
    </w:div>
    <w:div w:id="1415200189">
      <w:bodyDiv w:val="1"/>
      <w:marLeft w:val="0"/>
      <w:marRight w:val="0"/>
      <w:marTop w:val="0"/>
      <w:marBottom w:val="0"/>
      <w:divBdr>
        <w:top w:val="none" w:sz="0" w:space="0" w:color="auto"/>
        <w:left w:val="none" w:sz="0" w:space="0" w:color="auto"/>
        <w:bottom w:val="none" w:sz="0" w:space="0" w:color="auto"/>
        <w:right w:val="none" w:sz="0" w:space="0" w:color="auto"/>
      </w:divBdr>
    </w:div>
    <w:div w:id="1775203767">
      <w:bodyDiv w:val="1"/>
      <w:marLeft w:val="0"/>
      <w:marRight w:val="0"/>
      <w:marTop w:val="0"/>
      <w:marBottom w:val="0"/>
      <w:divBdr>
        <w:top w:val="none" w:sz="0" w:space="0" w:color="auto"/>
        <w:left w:val="none" w:sz="0" w:space="0" w:color="auto"/>
        <w:bottom w:val="none" w:sz="0" w:space="0" w:color="auto"/>
        <w:right w:val="none" w:sz="0" w:space="0" w:color="auto"/>
      </w:divBdr>
    </w:div>
    <w:div w:id="20666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a.org/publications/7430/model-for-analysis-of-energy-demand-maed-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yperlink" Target="https://doi.org/10.3390/en1712287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sr.2025.1016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enpol.2005.06.005" TargetMode="External"/><Relationship Id="rId4" Type="http://schemas.openxmlformats.org/officeDocument/2006/relationships/webSettings" Target="webSettings.xml"/><Relationship Id="rId9" Type="http://schemas.openxmlformats.org/officeDocument/2006/relationships/hyperlink" Target="https://doi.org/10.1016/j.egyr.2023.11.04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4076</Characters>
  <Application>Microsoft Office Word</Application>
  <DocSecurity>0</DocSecurity>
  <Lines>66</Lines>
  <Paragraphs>24</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Kiley</dc:creator>
  <cp:keywords/>
  <dc:description/>
  <cp:lastModifiedBy>Fynn Kiley</cp:lastModifiedBy>
  <cp:revision>37</cp:revision>
  <dcterms:created xsi:type="dcterms:W3CDTF">2025-06-04T13:13:00Z</dcterms:created>
  <dcterms:modified xsi:type="dcterms:W3CDTF">2025-11-17T15:52:00Z</dcterms:modified>
</cp:coreProperties>
</file>